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F792" w14:textId="77777777" w:rsidR="00A36EEA" w:rsidRPr="00661517" w:rsidRDefault="00A36EEA">
      <w:pPr>
        <w:pStyle w:val="BodyText"/>
        <w:spacing w:before="2"/>
        <w:rPr>
          <w:rFonts w:ascii="Times New Roman"/>
          <w:sz w:val="12"/>
          <w:lang w:val="en-US"/>
        </w:rPr>
      </w:pPr>
    </w:p>
    <w:p w14:paraId="40E55D87" w14:textId="4546C6D6" w:rsidR="00A36EEA" w:rsidRPr="00661517" w:rsidRDefault="000934B0">
      <w:pPr>
        <w:pStyle w:val="Heading1"/>
        <w:spacing w:before="131"/>
        <w:ind w:left="112" w:firstLine="0"/>
      </w:pPr>
      <w:r>
        <w:t xml:space="preserve">Приложение 9</w:t>
      </w:r>
      <w:r w:rsidR="00661517">
        <w:rPr>
          <w:rStyle w:val="FootnoteReference"/>
          <w:lang w:val="en-US"/>
        </w:rPr>
        <w:footnoteReference w:id="1"/>
      </w:r>
    </w:p>
    <w:p w14:paraId="3A41D471" w14:textId="77777777" w:rsidR="00A36EEA" w:rsidRPr="00661517" w:rsidRDefault="000934B0">
      <w:pPr>
        <w:pStyle w:val="BodyText"/>
        <w:spacing w:before="3"/>
        <w:ind w:left="112"/>
      </w:pPr>
      <w:r>
        <w:t xml:space="preserve">(точка 11.3)</w:t>
      </w:r>
    </w:p>
    <w:p w14:paraId="0A7FC912" w14:textId="77777777" w:rsidR="00A36EEA" w:rsidRPr="00661517" w:rsidRDefault="00A36EEA">
      <w:pPr>
        <w:pStyle w:val="BodyText"/>
        <w:spacing w:before="9"/>
        <w:rPr>
          <w:sz w:val="19"/>
          <w:lang w:val="en-US"/>
        </w:rPr>
      </w:pPr>
    </w:p>
    <w:p w14:paraId="63517F18" w14:textId="77777777" w:rsidR="00A36EEA" w:rsidRPr="00661517" w:rsidRDefault="000934B0">
      <w:pPr>
        <w:pStyle w:val="Heading1"/>
        <w:spacing w:before="1"/>
        <w:ind w:left="112" w:firstLine="0"/>
      </w:pPr>
      <w:r>
        <w:t xml:space="preserve">Преразгледани правила</w:t>
      </w:r>
    </w:p>
    <w:p w14:paraId="4A7661B6" w14:textId="7ADB3761" w:rsidR="00A36EEA" w:rsidRPr="00661517" w:rsidRDefault="000934B0" w:rsidP="00661517">
      <w:pPr>
        <w:ind w:left="112" w:right="3231"/>
        <w:rPr>
          <w:b/>
          <w:sz w:val="20"/>
        </w:rPr>
      </w:pPr>
      <w:r>
        <w:rPr>
          <w:b/>
          <w:sz w:val="20"/>
        </w:rPr>
        <w:t xml:space="preserve">относно възстановяването на пътни и дневни разходи на правителствени експерти и други лица, пътуващи за сметка на бюджета на Съвета на Европа</w:t>
      </w:r>
    </w:p>
    <w:p w14:paraId="3A8F6905" w14:textId="77777777" w:rsidR="00A36EEA" w:rsidRPr="00661517" w:rsidRDefault="00A36EEA">
      <w:pPr>
        <w:pStyle w:val="BodyText"/>
        <w:rPr>
          <w:b/>
          <w:sz w:val="22"/>
          <w:lang w:val="en-US"/>
        </w:rPr>
      </w:pPr>
    </w:p>
    <w:p w14:paraId="2ABCBFDB" w14:textId="77777777" w:rsidR="00A36EEA" w:rsidRPr="00661517" w:rsidRDefault="00A36EEA">
      <w:pPr>
        <w:pStyle w:val="BodyText"/>
        <w:spacing w:before="1"/>
        <w:rPr>
          <w:b/>
          <w:sz w:val="18"/>
          <w:lang w:val="en-US"/>
        </w:rPr>
      </w:pPr>
    </w:p>
    <w:p w14:paraId="261902A3" w14:textId="77777777" w:rsidR="00A36EEA" w:rsidRPr="00661517" w:rsidRDefault="000934B0">
      <w:pPr>
        <w:pStyle w:val="ListParagraph"/>
        <w:numPr>
          <w:ilvl w:val="0"/>
          <w:numId w:val="9"/>
        </w:numPr>
        <w:tabs>
          <w:tab w:val="left" w:pos="821"/>
          <w:tab w:val="left" w:pos="822"/>
        </w:tabs>
        <w:ind w:hanging="710"/>
        <w:rPr>
          <w:b/>
          <w:sz w:val="20"/>
        </w:rPr>
      </w:pPr>
      <w:r>
        <w:rPr>
          <w:b/>
          <w:sz w:val="20"/>
        </w:rPr>
        <w:t xml:space="preserve">ОБЩИ РАЗПОРЕДБИ</w:t>
      </w:r>
    </w:p>
    <w:p w14:paraId="2886E508" w14:textId="77777777" w:rsidR="00A36EEA" w:rsidRPr="00661517" w:rsidRDefault="00A36EEA">
      <w:pPr>
        <w:pStyle w:val="BodyText"/>
        <w:spacing w:before="1"/>
        <w:rPr>
          <w:b/>
          <w:lang w:val="en-US"/>
        </w:rPr>
      </w:pPr>
    </w:p>
    <w:p w14:paraId="5A0D3820" w14:textId="77777777" w:rsidR="00A36EEA" w:rsidRPr="00661517" w:rsidRDefault="000934B0">
      <w:pPr>
        <w:ind w:left="112"/>
        <w:rPr>
          <w:i/>
          <w:sz w:val="20"/>
        </w:rPr>
      </w:pPr>
      <w:r>
        <w:rPr>
          <w:i/>
          <w:sz w:val="20"/>
        </w:rPr>
        <w:t xml:space="preserve">Член 1</w:t>
      </w:r>
    </w:p>
    <w:p w14:paraId="482F03C2" w14:textId="77777777" w:rsidR="00A36EEA" w:rsidRPr="00661517" w:rsidRDefault="00A36EEA">
      <w:pPr>
        <w:pStyle w:val="BodyText"/>
        <w:spacing w:before="1"/>
        <w:rPr>
          <w:i/>
          <w:lang w:val="en-US"/>
        </w:rPr>
      </w:pPr>
    </w:p>
    <w:p w14:paraId="4EB0050A" w14:textId="77777777" w:rsidR="00A36EEA" w:rsidRPr="00661517" w:rsidRDefault="000934B0">
      <w:pPr>
        <w:pStyle w:val="BodyText"/>
        <w:ind w:left="112" w:right="666"/>
      </w:pPr>
      <w:r>
        <w:t xml:space="preserve">Експертите и другите лица, пътуващи по работа на Съвета на Европа и за сметка на Съвета (наричани по-долу „експерти“), организират пътуванията си по най-икономичния начин.</w:t>
      </w:r>
      <w:r>
        <w:t xml:space="preserve"> </w:t>
      </w:r>
      <w:r>
        <w:t xml:space="preserve">Пътните разходи се възстановяват, а дневните пари се изплащат в съответствие с настоящите правила.</w:t>
      </w:r>
    </w:p>
    <w:p w14:paraId="51BE291F" w14:textId="77777777" w:rsidR="00A36EEA" w:rsidRPr="00661517" w:rsidRDefault="00A36EEA">
      <w:pPr>
        <w:pStyle w:val="BodyText"/>
        <w:spacing w:before="9"/>
        <w:rPr>
          <w:sz w:val="19"/>
          <w:lang w:val="en-US"/>
        </w:rPr>
      </w:pPr>
    </w:p>
    <w:p w14:paraId="073C77F6" w14:textId="77777777" w:rsidR="00A36EEA" w:rsidRPr="00661517" w:rsidRDefault="000934B0">
      <w:pPr>
        <w:pStyle w:val="Heading1"/>
        <w:numPr>
          <w:ilvl w:val="0"/>
          <w:numId w:val="9"/>
        </w:numPr>
        <w:tabs>
          <w:tab w:val="left" w:pos="821"/>
          <w:tab w:val="left" w:pos="822"/>
        </w:tabs>
        <w:ind w:hanging="710"/>
      </w:pPr>
      <w:r>
        <w:t xml:space="preserve">ТРАНСПОРТНИ СРЕДСТВА И ПЪТНИ РАЗХОДИ</w:t>
      </w:r>
    </w:p>
    <w:p w14:paraId="35D2C8D9" w14:textId="77777777" w:rsidR="00A36EEA" w:rsidRPr="00661517" w:rsidRDefault="00A36EEA">
      <w:pPr>
        <w:pStyle w:val="BodyText"/>
        <w:spacing w:before="1"/>
        <w:rPr>
          <w:b/>
          <w:lang w:val="en-US"/>
        </w:rPr>
      </w:pPr>
    </w:p>
    <w:p w14:paraId="726FF450" w14:textId="77777777" w:rsidR="00A36EEA" w:rsidRPr="00661517" w:rsidRDefault="000934B0">
      <w:pPr>
        <w:ind w:left="112"/>
        <w:rPr>
          <w:i/>
          <w:sz w:val="20"/>
        </w:rPr>
      </w:pPr>
      <w:r>
        <w:rPr>
          <w:i/>
          <w:sz w:val="20"/>
        </w:rPr>
        <w:t xml:space="preserve">Член 2</w:t>
      </w:r>
    </w:p>
    <w:p w14:paraId="4BFC85D7" w14:textId="77777777" w:rsidR="00A36EEA" w:rsidRPr="00661517" w:rsidRDefault="00A36EEA">
      <w:pPr>
        <w:pStyle w:val="BodyText"/>
        <w:spacing w:before="3"/>
        <w:rPr>
          <w:i/>
          <w:lang w:val="en-US"/>
        </w:rPr>
      </w:pPr>
    </w:p>
    <w:p w14:paraId="31A76EC9" w14:textId="77777777" w:rsidR="00A36EEA" w:rsidRPr="00661517" w:rsidRDefault="000934B0">
      <w:pPr>
        <w:pStyle w:val="ListParagraph"/>
        <w:numPr>
          <w:ilvl w:val="0"/>
          <w:numId w:val="8"/>
        </w:numPr>
        <w:tabs>
          <w:tab w:val="left" w:pos="821"/>
          <w:tab w:val="left" w:pos="822"/>
        </w:tabs>
        <w:spacing w:before="1"/>
        <w:ind w:right="260" w:firstLine="0"/>
        <w:rPr>
          <w:sz w:val="20"/>
        </w:rPr>
      </w:pPr>
      <w:r>
        <w:rPr>
          <w:sz w:val="20"/>
        </w:rPr>
        <w:t xml:space="preserve">Експертите имат право, както е предвидено по-долу, да им бъдат възстановени пътните разходи, направени при пътуването между адреса, посочен в известието за заседанието (наричан по-долу „място на тръгване“), и мястото на заседанието.</w:t>
      </w:r>
    </w:p>
    <w:p w14:paraId="7F51DB26" w14:textId="77777777" w:rsidR="00A36EEA" w:rsidRPr="00661517" w:rsidRDefault="00A36EEA">
      <w:pPr>
        <w:pStyle w:val="BodyText"/>
        <w:spacing w:before="10"/>
        <w:rPr>
          <w:sz w:val="19"/>
          <w:lang w:val="en-US"/>
        </w:rPr>
      </w:pPr>
    </w:p>
    <w:p w14:paraId="0251419C" w14:textId="77777777" w:rsidR="00A36EEA" w:rsidRPr="00661517" w:rsidRDefault="000934B0">
      <w:pPr>
        <w:pStyle w:val="ListParagraph"/>
        <w:numPr>
          <w:ilvl w:val="0"/>
          <w:numId w:val="8"/>
        </w:numPr>
        <w:tabs>
          <w:tab w:val="left" w:pos="821"/>
          <w:tab w:val="left" w:pos="822"/>
        </w:tabs>
        <w:ind w:right="117" w:firstLine="0"/>
        <w:rPr>
          <w:sz w:val="20"/>
        </w:rPr>
      </w:pPr>
      <w:r>
        <w:rPr>
          <w:sz w:val="20"/>
        </w:rPr>
        <w:t xml:space="preserve">Ако по лични или професионални причини експертите пътуват до срещата от място, различно от мястото на тръгване, или се връщат на такова място след срещата, възстановяването на разходите се ограничава до размера на разходите, които биха направили за пътуването до или от мястото на тръгване.</w:t>
      </w:r>
      <w:r>
        <w:rPr>
          <w:sz w:val="20"/>
        </w:rPr>
        <w:t xml:space="preserve"> </w:t>
      </w:r>
      <w:r>
        <w:rPr>
          <w:sz w:val="20"/>
        </w:rPr>
        <w:t xml:space="preserve">При изключителни и надлежно обосновани обстоятелства, с предварителното одобрение на генералния секретар, експертите могат да поискат възстановяване на разходите въз основа на действителния маршрут.</w:t>
      </w:r>
    </w:p>
    <w:p w14:paraId="024EBA71" w14:textId="77777777" w:rsidR="00A36EEA" w:rsidRPr="00661517" w:rsidRDefault="00A36EEA">
      <w:pPr>
        <w:pStyle w:val="BodyText"/>
        <w:spacing w:before="1"/>
        <w:rPr>
          <w:lang w:val="en-US"/>
        </w:rPr>
      </w:pPr>
    </w:p>
    <w:p w14:paraId="21534072" w14:textId="77777777" w:rsidR="00A36EEA" w:rsidRPr="00661517" w:rsidRDefault="000934B0">
      <w:pPr>
        <w:pStyle w:val="ListParagraph"/>
        <w:numPr>
          <w:ilvl w:val="0"/>
          <w:numId w:val="8"/>
        </w:numPr>
        <w:tabs>
          <w:tab w:val="left" w:pos="821"/>
          <w:tab w:val="left" w:pos="822"/>
        </w:tabs>
        <w:ind w:right="412" w:firstLine="0"/>
        <w:rPr>
          <w:sz w:val="20"/>
        </w:rPr>
      </w:pPr>
      <w:r>
        <w:rPr>
          <w:sz w:val="20"/>
        </w:rPr>
        <w:t xml:space="preserve">Пътните разходи се възстановяват само на един експерт на среща.</w:t>
      </w:r>
      <w:r>
        <w:rPr>
          <w:sz w:val="20"/>
        </w:rPr>
        <w:t xml:space="preserve"> </w:t>
      </w:r>
      <w:r>
        <w:rPr>
          <w:sz w:val="20"/>
        </w:rPr>
        <w:t xml:space="preserve">Ако един експерт бъде заменен от друг в хода на заседанието, последният няма право на пътни разходи.</w:t>
      </w:r>
    </w:p>
    <w:p w14:paraId="11DC1327" w14:textId="77777777" w:rsidR="00A36EEA" w:rsidRPr="00661517" w:rsidRDefault="00A36EEA">
      <w:pPr>
        <w:pStyle w:val="BodyText"/>
        <w:spacing w:before="8"/>
        <w:rPr>
          <w:sz w:val="19"/>
          <w:lang w:val="en-US"/>
        </w:rPr>
      </w:pPr>
    </w:p>
    <w:p w14:paraId="42D784C7" w14:textId="77777777" w:rsidR="00A36EEA" w:rsidRPr="00661517" w:rsidRDefault="000934B0">
      <w:pPr>
        <w:ind w:left="112"/>
        <w:rPr>
          <w:i/>
          <w:sz w:val="20"/>
        </w:rPr>
      </w:pPr>
      <w:r>
        <w:rPr>
          <w:i/>
          <w:sz w:val="20"/>
        </w:rPr>
        <w:t xml:space="preserve">Член 3</w:t>
      </w:r>
    </w:p>
    <w:p w14:paraId="610D9651" w14:textId="77777777" w:rsidR="00A36EEA" w:rsidRPr="00661517" w:rsidRDefault="00A36EEA">
      <w:pPr>
        <w:pStyle w:val="BodyText"/>
        <w:spacing w:before="3"/>
        <w:rPr>
          <w:i/>
          <w:lang w:val="en-US"/>
        </w:rPr>
      </w:pPr>
    </w:p>
    <w:p w14:paraId="614C7AF7" w14:textId="77777777" w:rsidR="00A36EEA" w:rsidRPr="00661517" w:rsidRDefault="000934B0">
      <w:pPr>
        <w:pStyle w:val="BodyText"/>
        <w:ind w:left="112" w:right="122"/>
      </w:pPr>
      <w:r>
        <w:t xml:space="preserve">Всички искания за възстановяване на пътни разходи за всички видове транспорт трябва да бъдат придружени от копие на съответния билет и доказателства за действително направените разходи (например оригинална фактура или заверено копие, извлечение от кредитна карта или извлечение).</w:t>
      </w:r>
      <w:r>
        <w:t xml:space="preserve"> </w:t>
      </w:r>
      <w:r>
        <w:t xml:space="preserve">В никакъв случай възстановената сума не може да надвишава действително направените разходи.</w:t>
      </w:r>
    </w:p>
    <w:p w14:paraId="4E1631E4" w14:textId="77777777" w:rsidR="00A36EEA" w:rsidRPr="00661517" w:rsidRDefault="00A36EEA">
      <w:pPr>
        <w:pStyle w:val="BodyText"/>
        <w:spacing w:before="9"/>
        <w:rPr>
          <w:sz w:val="19"/>
          <w:lang w:val="en-US"/>
        </w:rPr>
      </w:pPr>
    </w:p>
    <w:p w14:paraId="4484E1B4" w14:textId="77777777" w:rsidR="00A36EEA" w:rsidRPr="00661517" w:rsidRDefault="000934B0">
      <w:pPr>
        <w:ind w:left="112"/>
        <w:rPr>
          <w:i/>
          <w:sz w:val="20"/>
        </w:rPr>
      </w:pPr>
      <w:r>
        <w:rPr>
          <w:i/>
          <w:sz w:val="20"/>
        </w:rPr>
        <w:t xml:space="preserve">Член 4</w:t>
      </w:r>
    </w:p>
    <w:p w14:paraId="38D3831E" w14:textId="77777777" w:rsidR="00A36EEA" w:rsidRPr="00661517" w:rsidRDefault="00A36EEA">
      <w:pPr>
        <w:pStyle w:val="BodyText"/>
        <w:rPr>
          <w:i/>
          <w:lang w:val="en-US"/>
        </w:rPr>
      </w:pPr>
    </w:p>
    <w:p w14:paraId="2559EFBD" w14:textId="77777777" w:rsidR="00A36EEA" w:rsidRPr="00661517" w:rsidRDefault="000934B0">
      <w:pPr>
        <w:pStyle w:val="Heading2"/>
        <w:numPr>
          <w:ilvl w:val="0"/>
          <w:numId w:val="7"/>
        </w:numPr>
        <w:tabs>
          <w:tab w:val="left" w:pos="821"/>
          <w:tab w:val="left" w:pos="822"/>
        </w:tabs>
        <w:spacing w:before="1"/>
        <w:ind w:hanging="710"/>
      </w:pPr>
      <w:r>
        <w:t xml:space="preserve">Пътуване с влак</w:t>
      </w:r>
    </w:p>
    <w:p w14:paraId="064EF756" w14:textId="77777777" w:rsidR="00A36EEA" w:rsidRPr="00661517" w:rsidRDefault="00A36EEA">
      <w:pPr>
        <w:pStyle w:val="BodyText"/>
        <w:spacing w:before="1"/>
        <w:rPr>
          <w:b/>
          <w:i/>
          <w:lang w:val="en-US"/>
        </w:rPr>
      </w:pPr>
    </w:p>
    <w:p w14:paraId="1E735145" w14:textId="77777777" w:rsidR="00A36EEA" w:rsidRPr="00661517" w:rsidRDefault="000934B0">
      <w:pPr>
        <w:pStyle w:val="BodyText"/>
        <w:ind w:left="112" w:right="122"/>
      </w:pPr>
      <w:r>
        <w:t xml:space="preserve">Разрешава се възстановяването на разходи за железопътни билети за първа класа.</w:t>
      </w:r>
      <w:r>
        <w:t xml:space="preserve"> </w:t>
      </w:r>
      <w:r>
        <w:t xml:space="preserve">Когато продължителността на пътуването е по-дълга от 6 часа между 22:00 и 7:00 ч., може да бъде възстановена стойността на спалния вагон.</w:t>
      </w:r>
    </w:p>
    <w:p w14:paraId="4901924B" w14:textId="77777777" w:rsidR="00A36EEA" w:rsidRPr="00661517" w:rsidRDefault="00A36EEA">
      <w:pPr>
        <w:pStyle w:val="BodyText"/>
        <w:spacing w:before="10"/>
        <w:rPr>
          <w:sz w:val="19"/>
          <w:lang w:val="en-US"/>
        </w:rPr>
      </w:pPr>
    </w:p>
    <w:p w14:paraId="5C5612FF" w14:textId="77777777" w:rsidR="00A36EEA" w:rsidRPr="00661517" w:rsidRDefault="000934B0">
      <w:pPr>
        <w:pStyle w:val="Heading2"/>
        <w:numPr>
          <w:ilvl w:val="0"/>
          <w:numId w:val="7"/>
        </w:numPr>
        <w:tabs>
          <w:tab w:val="left" w:pos="821"/>
          <w:tab w:val="left" w:pos="822"/>
        </w:tabs>
        <w:ind w:hanging="710"/>
      </w:pPr>
      <w:r>
        <w:t xml:space="preserve">Пътуване със самолет</w:t>
      </w:r>
    </w:p>
    <w:p w14:paraId="6D23B2FA" w14:textId="77777777" w:rsidR="00A36EEA" w:rsidRPr="00661517" w:rsidRDefault="00A36EEA">
      <w:pPr>
        <w:pStyle w:val="BodyText"/>
        <w:spacing w:before="3"/>
        <w:rPr>
          <w:b/>
          <w:i/>
          <w:lang w:val="en-US"/>
        </w:rPr>
      </w:pPr>
    </w:p>
    <w:p w14:paraId="0D9601B5" w14:textId="77777777" w:rsidR="00A36EEA" w:rsidRPr="00661517" w:rsidRDefault="000934B0">
      <w:pPr>
        <w:pStyle w:val="BodyText"/>
        <w:spacing w:before="1"/>
        <w:ind w:left="112"/>
      </w:pPr>
      <w:r>
        <w:t xml:space="preserve">Възстановяването на разходите се извършва въз основа на цената на билета за икономична класа.</w:t>
      </w:r>
    </w:p>
    <w:p w14:paraId="4ECC2AFC" w14:textId="77777777" w:rsidR="00A36EEA" w:rsidRPr="00661517" w:rsidRDefault="00A36EEA">
      <w:pPr>
        <w:pStyle w:val="BodyText"/>
        <w:spacing w:before="9"/>
        <w:rPr>
          <w:sz w:val="19"/>
          <w:lang w:val="en-US"/>
        </w:rPr>
      </w:pPr>
    </w:p>
    <w:p w14:paraId="0999E229" w14:textId="77777777" w:rsidR="00A36EEA" w:rsidRPr="00661517" w:rsidRDefault="000934B0">
      <w:pPr>
        <w:pStyle w:val="BodyText"/>
        <w:spacing w:before="1"/>
        <w:ind w:left="112"/>
      </w:pPr>
      <w:r>
        <w:t xml:space="preserve">Възстановяването обаче може да се основава на тарифата за бизнес класа при следните обстоятелства:</w:t>
      </w:r>
    </w:p>
    <w:p w14:paraId="6F8605D9" w14:textId="77777777" w:rsidR="00A36EEA" w:rsidRPr="00661517" w:rsidRDefault="00A36EEA">
      <w:pPr>
        <w:pStyle w:val="BodyText"/>
        <w:rPr>
          <w:lang w:val="en-US"/>
        </w:rPr>
      </w:pPr>
    </w:p>
    <w:p w14:paraId="039B5690" w14:textId="77777777" w:rsidR="00A36EEA" w:rsidRPr="00661517" w:rsidRDefault="000934B0">
      <w:pPr>
        <w:pStyle w:val="ListParagraph"/>
        <w:numPr>
          <w:ilvl w:val="1"/>
          <w:numId w:val="7"/>
        </w:numPr>
        <w:tabs>
          <w:tab w:val="left" w:pos="1529"/>
          <w:tab w:val="left" w:pos="1530"/>
        </w:tabs>
        <w:ind w:hanging="709"/>
        <w:rPr>
          <w:sz w:val="20"/>
        </w:rPr>
      </w:pPr>
      <w:r>
        <w:rPr>
          <w:sz w:val="20"/>
        </w:rPr>
        <w:t xml:space="preserve">за единични полети с продължителност повече от 7 часа;</w:t>
      </w:r>
    </w:p>
    <w:p w14:paraId="7954882F" w14:textId="77777777" w:rsidR="00A36EEA" w:rsidRPr="00661517" w:rsidRDefault="000934B0">
      <w:pPr>
        <w:pStyle w:val="ListParagraph"/>
        <w:numPr>
          <w:ilvl w:val="1"/>
          <w:numId w:val="7"/>
        </w:numPr>
        <w:tabs>
          <w:tab w:val="left" w:pos="1529"/>
          <w:tab w:val="left" w:pos="1530"/>
        </w:tabs>
        <w:spacing w:before="1"/>
        <w:ind w:hanging="709"/>
        <w:rPr>
          <w:sz w:val="20"/>
        </w:rPr>
      </w:pPr>
      <w:r>
        <w:rPr>
          <w:sz w:val="20"/>
        </w:rPr>
        <w:t xml:space="preserve">за повече от 15 часа пътуване (повече от един полет плюс междинни кацания);</w:t>
      </w:r>
    </w:p>
    <w:p w14:paraId="3AF963EB" w14:textId="77777777" w:rsidR="00A36EEA" w:rsidRPr="00661517" w:rsidRDefault="00A36EEA">
      <w:pPr>
        <w:pStyle w:val="BodyText"/>
        <w:rPr>
          <w:lang w:val="en-US"/>
        </w:rPr>
      </w:pPr>
    </w:p>
    <w:p w14:paraId="0F89266D" w14:textId="77777777" w:rsidR="00A36EEA" w:rsidRPr="00661517" w:rsidRDefault="000934B0">
      <w:pPr>
        <w:pStyle w:val="ListParagraph"/>
        <w:numPr>
          <w:ilvl w:val="1"/>
          <w:numId w:val="7"/>
        </w:numPr>
        <w:tabs>
          <w:tab w:val="left" w:pos="1529"/>
          <w:tab w:val="left" w:pos="1530"/>
        </w:tabs>
        <w:spacing w:before="75"/>
        <w:ind w:right="307"/>
        <w:rPr>
          <w:sz w:val="20"/>
        </w:rPr>
      </w:pPr>
      <w:r>
        <w:rPr>
          <w:sz w:val="20"/>
        </w:rPr>
        <w:t xml:space="preserve">по здравословни причини, удостоверени с медицинско свидетелство, което трябва да бъде представено заедно с формуляра за искане.</w:t>
      </w:r>
    </w:p>
    <w:p w14:paraId="1B93ECA8" w14:textId="77777777" w:rsidR="00A36EEA" w:rsidRPr="00661517" w:rsidRDefault="00A36EEA">
      <w:pPr>
        <w:pStyle w:val="BodyText"/>
        <w:spacing w:before="10"/>
        <w:rPr>
          <w:sz w:val="19"/>
          <w:lang w:val="en-US"/>
        </w:rPr>
      </w:pPr>
    </w:p>
    <w:p w14:paraId="14EAA055" w14:textId="77777777" w:rsidR="00A36EEA" w:rsidRPr="00661517" w:rsidRDefault="000934B0">
      <w:pPr>
        <w:pStyle w:val="BodyText"/>
        <w:ind w:left="112" w:right="1078"/>
      </w:pPr>
      <w:r>
        <w:t xml:space="preserve">Трябва да се представи маршрутът на полета, за да се обоснове продължителността на полета или общото време на пътуване, според случая.</w:t>
      </w:r>
    </w:p>
    <w:p w14:paraId="0815924E" w14:textId="77777777" w:rsidR="00A36EEA" w:rsidRPr="00661517" w:rsidRDefault="00A36EEA">
      <w:pPr>
        <w:pStyle w:val="BodyText"/>
        <w:spacing w:before="1"/>
        <w:rPr>
          <w:lang w:val="en-US"/>
        </w:rPr>
      </w:pPr>
    </w:p>
    <w:p w14:paraId="3E9A815E" w14:textId="77777777" w:rsidR="00A36EEA" w:rsidRPr="00661517" w:rsidRDefault="000934B0">
      <w:pPr>
        <w:pStyle w:val="BodyText"/>
        <w:spacing w:before="1"/>
        <w:ind w:left="112"/>
      </w:pPr>
      <w:r>
        <w:t xml:space="preserve">Таксите за излишен багаж не се възстановяват, освен ако не са оправдани с официални изисквания.</w:t>
      </w:r>
    </w:p>
    <w:p w14:paraId="4861D47B" w14:textId="77777777" w:rsidR="00A36EEA" w:rsidRPr="00661517" w:rsidRDefault="00A36EEA">
      <w:pPr>
        <w:pStyle w:val="BodyText"/>
        <w:spacing w:before="7"/>
        <w:rPr>
          <w:sz w:val="19"/>
          <w:lang w:val="en-US"/>
        </w:rPr>
      </w:pPr>
    </w:p>
    <w:p w14:paraId="6C214AA6" w14:textId="77777777" w:rsidR="00A36EEA" w:rsidRPr="00661517" w:rsidRDefault="000934B0">
      <w:pPr>
        <w:pStyle w:val="Heading2"/>
        <w:numPr>
          <w:ilvl w:val="0"/>
          <w:numId w:val="7"/>
        </w:numPr>
        <w:tabs>
          <w:tab w:val="left" w:pos="821"/>
          <w:tab w:val="left" w:pos="822"/>
        </w:tabs>
        <w:ind w:hanging="710"/>
      </w:pPr>
      <w:r>
        <w:t xml:space="preserve">Пътуване по море</w:t>
      </w:r>
    </w:p>
    <w:p w14:paraId="5439A595" w14:textId="77777777" w:rsidR="00A36EEA" w:rsidRPr="00661517" w:rsidRDefault="00A36EEA">
      <w:pPr>
        <w:pStyle w:val="BodyText"/>
        <w:spacing w:before="3"/>
        <w:rPr>
          <w:b/>
          <w:i/>
          <w:lang w:val="en-US"/>
        </w:rPr>
      </w:pPr>
    </w:p>
    <w:p w14:paraId="429238E5" w14:textId="77777777" w:rsidR="00A36EEA" w:rsidRPr="00661517" w:rsidRDefault="000934B0">
      <w:pPr>
        <w:pStyle w:val="BodyText"/>
        <w:ind w:left="112" w:right="477"/>
      </w:pPr>
      <w:r>
        <w:t xml:space="preserve">Възстановяването на разходите за пътуване по море не може да надвишава сумата на самолетната такса, както е определено в параграф 2 по-горе.</w:t>
      </w:r>
      <w:r>
        <w:t xml:space="preserve"> </w:t>
      </w:r>
      <w:r>
        <w:t xml:space="preserve">Когато експертите пътуват с автомобил, разходите за транспортиране на автомобила по море не се възстановяват (вж. член 6, параграф 1).</w:t>
      </w:r>
    </w:p>
    <w:p w14:paraId="7E9D7504" w14:textId="77777777" w:rsidR="00A36EEA" w:rsidRPr="00661517" w:rsidRDefault="000934B0">
      <w:pPr>
        <w:spacing w:before="182"/>
        <w:ind w:left="112"/>
        <w:rPr>
          <w:i/>
          <w:sz w:val="20"/>
        </w:rPr>
      </w:pPr>
      <w:r>
        <w:rPr>
          <w:i/>
          <w:sz w:val="20"/>
        </w:rPr>
        <w:t xml:space="preserve">Член 5</w:t>
      </w:r>
    </w:p>
    <w:p w14:paraId="799F13C2" w14:textId="77777777" w:rsidR="00A36EEA" w:rsidRPr="00661517" w:rsidRDefault="00A36EEA">
      <w:pPr>
        <w:pStyle w:val="BodyText"/>
        <w:spacing w:before="3"/>
        <w:rPr>
          <w:i/>
          <w:lang w:val="en-US"/>
        </w:rPr>
      </w:pPr>
    </w:p>
    <w:p w14:paraId="66C5FCAD" w14:textId="77777777" w:rsidR="00A36EEA" w:rsidRPr="00661517" w:rsidRDefault="000934B0">
      <w:pPr>
        <w:pStyle w:val="ListParagraph"/>
        <w:numPr>
          <w:ilvl w:val="0"/>
          <w:numId w:val="6"/>
        </w:numPr>
        <w:tabs>
          <w:tab w:val="left" w:pos="821"/>
          <w:tab w:val="left" w:pos="822"/>
        </w:tabs>
        <w:ind w:right="224" w:firstLine="0"/>
        <w:rPr>
          <w:sz w:val="20"/>
        </w:rPr>
      </w:pPr>
      <w:r>
        <w:rPr>
          <w:sz w:val="20"/>
        </w:rPr>
        <w:t xml:space="preserve">Транзитните такси, свързани с преминаването от едно транспортно средство на друго, както и таксите, платени за пътуване между мястото на отпътуване и/или мястото на срещата и железопътната гара или летището, са предвидени в рамките на дневните пари, изплащани за участие в срещи, и следователно не се възстановяват пряко.</w:t>
      </w:r>
      <w:r>
        <w:rPr>
          <w:sz w:val="20"/>
        </w:rPr>
        <w:t xml:space="preserve"> </w:t>
      </w:r>
      <w:r>
        <w:rPr>
          <w:sz w:val="20"/>
        </w:rPr>
        <w:t xml:space="preserve">Въпреки това, когато тези такси надвишават 20 % от размера на изплатените дневни пари, разликата може да бъде възстановена с предварителното одобрение на генералния секретар и след представяне на доказателства за действително направените разходи.</w:t>
      </w:r>
    </w:p>
    <w:p w14:paraId="547B54C9" w14:textId="77777777" w:rsidR="00A36EEA" w:rsidRPr="00661517" w:rsidRDefault="00A36EEA">
      <w:pPr>
        <w:pStyle w:val="BodyText"/>
        <w:spacing w:before="1"/>
        <w:rPr>
          <w:lang w:val="en-US"/>
        </w:rPr>
      </w:pPr>
    </w:p>
    <w:p w14:paraId="1A7077FE" w14:textId="77777777" w:rsidR="00A36EEA" w:rsidRPr="00661517" w:rsidRDefault="000934B0">
      <w:pPr>
        <w:pStyle w:val="ListParagraph"/>
        <w:numPr>
          <w:ilvl w:val="0"/>
          <w:numId w:val="6"/>
        </w:numPr>
        <w:tabs>
          <w:tab w:val="left" w:pos="821"/>
          <w:tab w:val="left" w:pos="822"/>
        </w:tabs>
        <w:ind w:right="281" w:firstLine="0"/>
        <w:rPr>
          <w:sz w:val="20"/>
        </w:rPr>
      </w:pPr>
      <w:r>
        <w:rPr>
          <w:sz w:val="20"/>
        </w:rPr>
        <w:t xml:space="preserve">Местните пътни разходи, направени в дните на заседанията, са предвидени в рамките на дневните надбавки, изплащани за участие в заседанията, и следователно не се възстановяват пряко.</w:t>
      </w:r>
    </w:p>
    <w:p w14:paraId="67B7FDFF" w14:textId="77777777" w:rsidR="00A36EEA" w:rsidRPr="00661517" w:rsidRDefault="00A36EEA">
      <w:pPr>
        <w:pStyle w:val="BodyText"/>
        <w:spacing w:before="8"/>
        <w:rPr>
          <w:sz w:val="19"/>
          <w:lang w:val="en-US"/>
        </w:rPr>
      </w:pPr>
    </w:p>
    <w:p w14:paraId="18981EB8" w14:textId="77777777" w:rsidR="00A36EEA" w:rsidRPr="00661517" w:rsidRDefault="000934B0">
      <w:pPr>
        <w:ind w:left="112"/>
        <w:rPr>
          <w:i/>
          <w:sz w:val="20"/>
        </w:rPr>
      </w:pPr>
      <w:r>
        <w:rPr>
          <w:i/>
          <w:sz w:val="20"/>
        </w:rPr>
        <w:t xml:space="preserve">Член 6</w:t>
      </w:r>
    </w:p>
    <w:p w14:paraId="1EDF2EB8" w14:textId="77777777" w:rsidR="00A36EEA" w:rsidRPr="00661517" w:rsidRDefault="00A36EEA">
      <w:pPr>
        <w:pStyle w:val="BodyText"/>
        <w:spacing w:before="3"/>
        <w:rPr>
          <w:i/>
          <w:lang w:val="en-US"/>
        </w:rPr>
      </w:pPr>
    </w:p>
    <w:p w14:paraId="73101352" w14:textId="77777777" w:rsidR="00A36EEA" w:rsidRPr="00661517" w:rsidRDefault="000934B0">
      <w:pPr>
        <w:pStyle w:val="ListParagraph"/>
        <w:numPr>
          <w:ilvl w:val="0"/>
          <w:numId w:val="5"/>
        </w:numPr>
        <w:tabs>
          <w:tab w:val="left" w:pos="821"/>
          <w:tab w:val="left" w:pos="822"/>
        </w:tabs>
        <w:ind w:right="122" w:firstLine="0"/>
        <w:rPr>
          <w:sz w:val="20"/>
        </w:rPr>
      </w:pPr>
      <w:r>
        <w:rPr>
          <w:sz w:val="20"/>
        </w:rPr>
        <w:t xml:space="preserve">Експертите, които пътуват със средства, различни от обществения транспорт, на разстояние, надвишаващо 30 километра за едно пътуване (в едната посока), получават възстановяване на еднократна сума въз основа на надбавка за километри, определяна ежегодно от Комитета на министрите.</w:t>
      </w:r>
      <w:r>
        <w:rPr>
          <w:sz w:val="20"/>
        </w:rPr>
        <w:t xml:space="preserve"> </w:t>
      </w:r>
      <w:r>
        <w:rPr>
          <w:sz w:val="20"/>
        </w:rPr>
        <w:t xml:space="preserve">Разстояния над 1600 километра за отиване и връщане се възстановяват на базата на цената на самолетната билетна карта в икономична класа от най-близките летища, освен ако няма предварително одобрение от генералния секретар, разрешаващо възстановяване на разходите въз основа на километрична надбавка.</w:t>
      </w:r>
      <w:r>
        <w:rPr>
          <w:sz w:val="20"/>
        </w:rPr>
        <w:t xml:space="preserve"> </w:t>
      </w:r>
      <w:r>
        <w:rPr>
          <w:sz w:val="20"/>
        </w:rPr>
        <w:t xml:space="preserve">Не се възстановяват суми за пътувания, по-кратки от 30 километра (в едната посока).</w:t>
      </w:r>
    </w:p>
    <w:p w14:paraId="4AC21FC2" w14:textId="77777777" w:rsidR="00A36EEA" w:rsidRPr="00661517" w:rsidRDefault="00A36EEA">
      <w:pPr>
        <w:pStyle w:val="BodyText"/>
        <w:spacing w:before="1"/>
        <w:rPr>
          <w:lang w:val="en-US"/>
        </w:rPr>
      </w:pPr>
    </w:p>
    <w:p w14:paraId="14492FC5" w14:textId="77777777" w:rsidR="00A36EEA" w:rsidRPr="00661517" w:rsidRDefault="000934B0">
      <w:pPr>
        <w:pStyle w:val="ListParagraph"/>
        <w:numPr>
          <w:ilvl w:val="0"/>
          <w:numId w:val="5"/>
        </w:numPr>
        <w:tabs>
          <w:tab w:val="left" w:pos="821"/>
          <w:tab w:val="left" w:pos="822"/>
        </w:tabs>
        <w:ind w:right="404" w:firstLine="0"/>
        <w:rPr>
          <w:sz w:val="20"/>
        </w:rPr>
      </w:pPr>
      <w:r>
        <w:rPr>
          <w:sz w:val="20"/>
        </w:rPr>
        <w:t xml:space="preserve">Времето за пътуване, използвано като основа за изчисляване на дневните надбавки, е резултат от броя на километрите, разделен на 90, и не може да надвишава 24 часа.</w:t>
      </w:r>
    </w:p>
    <w:p w14:paraId="56BA4752" w14:textId="77777777" w:rsidR="00A36EEA" w:rsidRPr="00661517" w:rsidRDefault="00A36EEA">
      <w:pPr>
        <w:pStyle w:val="BodyText"/>
        <w:spacing w:before="10"/>
        <w:rPr>
          <w:sz w:val="19"/>
          <w:lang w:val="en-US"/>
        </w:rPr>
      </w:pPr>
    </w:p>
    <w:p w14:paraId="434EFBD1" w14:textId="77777777" w:rsidR="00A36EEA" w:rsidRPr="00661517" w:rsidRDefault="000934B0">
      <w:pPr>
        <w:pStyle w:val="ListParagraph"/>
        <w:numPr>
          <w:ilvl w:val="0"/>
          <w:numId w:val="5"/>
        </w:numPr>
        <w:tabs>
          <w:tab w:val="left" w:pos="821"/>
          <w:tab w:val="left" w:pos="822"/>
        </w:tabs>
        <w:ind w:right="277" w:firstLine="0"/>
        <w:rPr>
          <w:sz w:val="20"/>
        </w:rPr>
      </w:pPr>
      <w:r>
        <w:rPr>
          <w:sz w:val="20"/>
        </w:rPr>
        <w:t xml:space="preserve">Свързаните с това разходи, като например такси за изминато разстояние и паркинг, могат да бъдат възстановени само с предварителното одобрение на генералния секретар и само когато няма друга възможна алтернатива.</w:t>
      </w:r>
      <w:r>
        <w:rPr>
          <w:sz w:val="20"/>
        </w:rPr>
        <w:t xml:space="preserve"> </w:t>
      </w:r>
      <w:r>
        <w:rPr>
          <w:sz w:val="20"/>
        </w:rPr>
        <w:t xml:space="preserve">Тези искания се придружават от доказателства за действително направените разходи.</w:t>
      </w:r>
    </w:p>
    <w:p w14:paraId="481F5166" w14:textId="77777777" w:rsidR="00A36EEA" w:rsidRPr="00661517" w:rsidRDefault="00A36EEA">
      <w:pPr>
        <w:pStyle w:val="BodyText"/>
        <w:spacing w:before="11"/>
        <w:rPr>
          <w:sz w:val="19"/>
          <w:lang w:val="en-US"/>
        </w:rPr>
      </w:pPr>
    </w:p>
    <w:p w14:paraId="7482930A" w14:textId="77777777" w:rsidR="00A36EEA" w:rsidRPr="00661517" w:rsidRDefault="000934B0">
      <w:pPr>
        <w:pStyle w:val="ListParagraph"/>
        <w:numPr>
          <w:ilvl w:val="0"/>
          <w:numId w:val="5"/>
        </w:numPr>
        <w:tabs>
          <w:tab w:val="left" w:pos="821"/>
          <w:tab w:val="left" w:pos="822"/>
        </w:tabs>
        <w:ind w:right="380" w:firstLine="0"/>
        <w:rPr>
          <w:sz w:val="20"/>
        </w:rPr>
      </w:pPr>
      <w:r>
        <w:rPr>
          <w:sz w:val="20"/>
        </w:rPr>
        <w:t xml:space="preserve">Ако двама или повече експерти, които имат право да претендират за разходи, използват един и същ автомобил, възстановяването се извършва само на лицето, което отговаря за автомобила, като увеличението е 10 % за всеки пътник.</w:t>
      </w:r>
    </w:p>
    <w:p w14:paraId="504FD06E" w14:textId="77777777" w:rsidR="00A36EEA" w:rsidRPr="00661517" w:rsidRDefault="00A36EEA">
      <w:pPr>
        <w:pStyle w:val="BodyText"/>
        <w:spacing w:before="1"/>
        <w:rPr>
          <w:lang w:val="en-US"/>
        </w:rPr>
      </w:pPr>
    </w:p>
    <w:p w14:paraId="20FBF816" w14:textId="77777777" w:rsidR="00A36EEA" w:rsidRPr="00661517" w:rsidRDefault="000934B0">
      <w:pPr>
        <w:pStyle w:val="ListParagraph"/>
        <w:numPr>
          <w:ilvl w:val="0"/>
          <w:numId w:val="5"/>
        </w:numPr>
        <w:tabs>
          <w:tab w:val="left" w:pos="821"/>
          <w:tab w:val="left" w:pos="822"/>
        </w:tabs>
        <w:ind w:right="815" w:firstLine="0"/>
        <w:rPr>
          <w:sz w:val="20"/>
        </w:rPr>
      </w:pPr>
      <w:r>
        <w:rPr>
          <w:sz w:val="20"/>
        </w:rPr>
        <w:t xml:space="preserve">Експертите, които пътуват с автомобил, правят това на свой риск.</w:t>
      </w:r>
      <w:r>
        <w:rPr>
          <w:sz w:val="20"/>
        </w:rPr>
        <w:t xml:space="preserve"> </w:t>
      </w:r>
      <w:r>
        <w:rPr>
          <w:sz w:val="20"/>
        </w:rPr>
        <w:t xml:space="preserve">Съветът на Европа не носи никаква отговорност по отношение на злополуки, които могат да възникнат по време на пътуването.</w:t>
      </w:r>
    </w:p>
    <w:p w14:paraId="7D691B96" w14:textId="77777777" w:rsidR="00A36EEA" w:rsidRPr="00661517" w:rsidRDefault="00A36EEA">
      <w:pPr>
        <w:pStyle w:val="BodyText"/>
        <w:spacing w:before="9"/>
        <w:rPr>
          <w:sz w:val="19"/>
          <w:lang w:val="en-US"/>
        </w:rPr>
      </w:pPr>
    </w:p>
    <w:p w14:paraId="44544127" w14:textId="77777777" w:rsidR="00A36EEA" w:rsidRPr="00661517" w:rsidRDefault="000934B0">
      <w:pPr>
        <w:pStyle w:val="Heading1"/>
        <w:numPr>
          <w:ilvl w:val="0"/>
          <w:numId w:val="9"/>
        </w:numPr>
        <w:tabs>
          <w:tab w:val="left" w:pos="820"/>
          <w:tab w:val="left" w:pos="821"/>
        </w:tabs>
        <w:ind w:left="820"/>
      </w:pPr>
      <w:r>
        <w:t xml:space="preserve">ДНЕВНИ НАДБАВКИ</w:t>
      </w:r>
    </w:p>
    <w:p w14:paraId="6F545227" w14:textId="77777777" w:rsidR="00A36EEA" w:rsidRPr="00661517" w:rsidRDefault="00A36EEA">
      <w:pPr>
        <w:pStyle w:val="BodyText"/>
        <w:spacing w:before="1"/>
        <w:rPr>
          <w:b/>
          <w:lang w:val="en-US"/>
        </w:rPr>
      </w:pPr>
    </w:p>
    <w:p w14:paraId="10E08BF8" w14:textId="77777777" w:rsidR="00A36EEA" w:rsidRPr="00661517" w:rsidRDefault="000934B0">
      <w:pPr>
        <w:ind w:left="112"/>
        <w:rPr>
          <w:i/>
          <w:sz w:val="20"/>
        </w:rPr>
      </w:pPr>
      <w:r>
        <w:rPr>
          <w:i/>
          <w:sz w:val="20"/>
        </w:rPr>
        <w:t xml:space="preserve">Член 7</w:t>
      </w:r>
    </w:p>
    <w:p w14:paraId="11666EDB" w14:textId="77777777" w:rsidR="00A36EEA" w:rsidRPr="00661517" w:rsidRDefault="00A36EEA">
      <w:pPr>
        <w:pStyle w:val="BodyText"/>
        <w:spacing w:before="3"/>
        <w:rPr>
          <w:i/>
          <w:lang w:val="en-US"/>
        </w:rPr>
      </w:pPr>
    </w:p>
    <w:p w14:paraId="21B77F28" w14:textId="77777777" w:rsidR="00A36EEA" w:rsidRPr="00661517" w:rsidRDefault="000934B0">
      <w:pPr>
        <w:pStyle w:val="ListParagraph"/>
        <w:numPr>
          <w:ilvl w:val="0"/>
          <w:numId w:val="4"/>
        </w:numPr>
        <w:tabs>
          <w:tab w:val="left" w:pos="820"/>
          <w:tab w:val="left" w:pos="821"/>
        </w:tabs>
        <w:ind w:right="206" w:firstLine="0"/>
        <w:rPr>
          <w:sz w:val="20"/>
        </w:rPr>
      </w:pPr>
      <w:r>
        <w:rPr>
          <w:sz w:val="20"/>
        </w:rPr>
        <w:t xml:space="preserve">По време на заседанието експертите имат право да получават дневни надбавки в размер, определян ежегодно от Комитета на министрите (размерът, който е в сила от 1 януари 2024 г., е 186 EUR).</w:t>
      </w:r>
      <w:r>
        <w:rPr>
          <w:sz w:val="20"/>
        </w:rPr>
        <w:t xml:space="preserve"> </w:t>
      </w:r>
      <w:r>
        <w:rPr>
          <w:sz w:val="20"/>
        </w:rPr>
        <w:t xml:space="preserve">Тази ставка е една и съща независимо от мястото на провеждане на заседанието.</w:t>
      </w:r>
      <w:r>
        <w:rPr>
          <w:sz w:val="20"/>
        </w:rPr>
        <w:t xml:space="preserve"> </w:t>
      </w:r>
      <w:r>
        <w:rPr>
          <w:sz w:val="20"/>
        </w:rPr>
        <w:t xml:space="preserve">По изключение за проекти, финансирани с извънбюджетни средства, по-специално по съвместни програми на Съвета на Европа и Европейския съюз, могат да се определят специфични ставки, договорени със съответния донор.</w:t>
      </w:r>
    </w:p>
    <w:p w14:paraId="6E918BED" w14:textId="77777777" w:rsidR="00A36EEA" w:rsidRPr="00661517" w:rsidRDefault="000934B0">
      <w:pPr>
        <w:pStyle w:val="ListParagraph"/>
        <w:numPr>
          <w:ilvl w:val="0"/>
          <w:numId w:val="4"/>
        </w:numPr>
        <w:tabs>
          <w:tab w:val="left" w:pos="821"/>
          <w:tab w:val="left" w:pos="822"/>
        </w:tabs>
        <w:spacing w:before="75"/>
        <w:ind w:right="188" w:firstLine="0"/>
        <w:rPr>
          <w:sz w:val="20"/>
        </w:rPr>
      </w:pPr>
      <w:r>
        <w:rPr>
          <w:sz w:val="20"/>
        </w:rPr>
        <w:t xml:space="preserve">Смята се, че тази надбавка покрива всички разходи, направени от експертите за участие в заседанията, с изключение на пътните разходи, предвидени по-горе.</w:t>
      </w:r>
      <w:r>
        <w:rPr>
          <w:sz w:val="20"/>
        </w:rPr>
        <w:t xml:space="preserve"> </w:t>
      </w:r>
      <w:r>
        <w:rPr>
          <w:sz w:val="20"/>
        </w:rPr>
        <w:t xml:space="preserve">Въпреки това, когато при изключителни и надлежно обосновани обстоятелства и с предварителното одобрение на генералния секретар общите разходи за настаняване (стая, закуска и свързаните с тях данъци) възлизат на повече от 60 % от общия размер на дневните надбавки, платими за заседанието, експертите могат да подадат искане за допълнително плащане.</w:t>
      </w:r>
      <w:r>
        <w:rPr>
          <w:sz w:val="20"/>
        </w:rPr>
        <w:t xml:space="preserve"> </w:t>
      </w:r>
      <w:r>
        <w:rPr>
          <w:sz w:val="20"/>
        </w:rPr>
        <w:t xml:space="preserve">Всяко такова искане трябва да бъде подкрепено с оригинални ваучери, удостоверяващи действително направените разходи за настаняване.</w:t>
      </w:r>
    </w:p>
    <w:p w14:paraId="60B1E5ED" w14:textId="77777777" w:rsidR="00A36EEA" w:rsidRPr="00661517" w:rsidRDefault="00A36EEA">
      <w:pPr>
        <w:pStyle w:val="BodyText"/>
        <w:spacing w:before="9"/>
        <w:rPr>
          <w:sz w:val="19"/>
          <w:lang w:val="en-US"/>
        </w:rPr>
      </w:pPr>
    </w:p>
    <w:p w14:paraId="23CEA56B" w14:textId="77777777" w:rsidR="00A36EEA" w:rsidRPr="00661517" w:rsidRDefault="000934B0">
      <w:pPr>
        <w:spacing w:before="1"/>
        <w:ind w:left="112"/>
        <w:rPr>
          <w:i/>
          <w:sz w:val="20"/>
        </w:rPr>
      </w:pPr>
      <w:r>
        <w:rPr>
          <w:i/>
          <w:sz w:val="20"/>
        </w:rPr>
        <w:t xml:space="preserve">Член 8</w:t>
      </w:r>
    </w:p>
    <w:p w14:paraId="49ACB810" w14:textId="77777777" w:rsidR="00A36EEA" w:rsidRPr="00661517" w:rsidRDefault="00A36EEA">
      <w:pPr>
        <w:pStyle w:val="BodyText"/>
        <w:rPr>
          <w:i/>
          <w:lang w:val="en-US"/>
        </w:rPr>
      </w:pPr>
    </w:p>
    <w:p w14:paraId="021E0E84" w14:textId="77777777" w:rsidR="00A36EEA" w:rsidRPr="00661517" w:rsidRDefault="000934B0">
      <w:pPr>
        <w:pStyle w:val="ListParagraph"/>
        <w:numPr>
          <w:ilvl w:val="0"/>
          <w:numId w:val="3"/>
        </w:numPr>
        <w:tabs>
          <w:tab w:val="left" w:pos="821"/>
          <w:tab w:val="left" w:pos="822"/>
        </w:tabs>
        <w:ind w:hanging="710"/>
        <w:rPr>
          <w:sz w:val="20"/>
        </w:rPr>
      </w:pPr>
      <w:r>
        <w:rPr>
          <w:sz w:val="20"/>
        </w:rPr>
        <w:t xml:space="preserve">Продължителността на периода, даващ право на надбавка, се определя, както следва:</w:t>
      </w:r>
    </w:p>
    <w:p w14:paraId="561F831E" w14:textId="77777777" w:rsidR="00A36EEA" w:rsidRPr="00661517" w:rsidRDefault="00A36EEA">
      <w:pPr>
        <w:pStyle w:val="BodyText"/>
        <w:spacing w:before="1"/>
        <w:rPr>
          <w:lang w:val="en-US"/>
        </w:rPr>
      </w:pPr>
    </w:p>
    <w:p w14:paraId="11F5F357" w14:textId="77777777" w:rsidR="00A36EEA" w:rsidRPr="00661517" w:rsidRDefault="000934B0">
      <w:pPr>
        <w:pStyle w:val="ListParagraph"/>
        <w:numPr>
          <w:ilvl w:val="1"/>
          <w:numId w:val="3"/>
        </w:numPr>
        <w:tabs>
          <w:tab w:val="left" w:pos="1526"/>
          <w:tab w:val="left" w:pos="1527"/>
        </w:tabs>
        <w:ind w:right="110"/>
        <w:rPr>
          <w:sz w:val="20"/>
        </w:rPr>
      </w:pPr>
      <w:r>
        <w:rPr>
          <w:sz w:val="20"/>
        </w:rPr>
        <w:t xml:space="preserve">Експертите имат право на дневните надбавки за всеки 24-часов период, който се покрива от продължителността на командировката до и от срещата.</w:t>
      </w:r>
      <w:r>
        <w:rPr>
          <w:sz w:val="20"/>
        </w:rPr>
        <w:t xml:space="preserve"> </w:t>
      </w:r>
      <w:r>
        <w:rPr>
          <w:sz w:val="20"/>
        </w:rPr>
        <w:t xml:space="preserve">Продължителността, която се взема предвид при определянето на правото на дневни надбавки, не може да надвишава най-краткия срок, необходим за участие в заседанието в съответствие с транспортното средство, взето за основа на възстановяването на пътните разходи, както е определено в правилата по-горе.</w:t>
      </w:r>
    </w:p>
    <w:p w14:paraId="23850821" w14:textId="77777777" w:rsidR="00A36EEA" w:rsidRPr="00661517" w:rsidRDefault="00A36EEA">
      <w:pPr>
        <w:pStyle w:val="BodyText"/>
        <w:spacing w:before="1"/>
        <w:rPr>
          <w:lang w:val="en-US"/>
        </w:rPr>
      </w:pPr>
    </w:p>
    <w:p w14:paraId="4195A451" w14:textId="77777777" w:rsidR="00A36EEA" w:rsidRPr="00661517" w:rsidRDefault="000934B0">
      <w:pPr>
        <w:pStyle w:val="ListParagraph"/>
        <w:numPr>
          <w:ilvl w:val="1"/>
          <w:numId w:val="3"/>
        </w:numPr>
        <w:tabs>
          <w:tab w:val="left" w:pos="1529"/>
          <w:tab w:val="left" w:pos="1530"/>
        </w:tabs>
        <w:ind w:left="1529" w:hanging="709"/>
        <w:rPr>
          <w:sz w:val="20"/>
        </w:rPr>
      </w:pPr>
      <w:r>
        <w:rPr>
          <w:sz w:val="20"/>
        </w:rPr>
        <w:t xml:space="preserve">Дневните надбавки не се изплащат за период, по-кратък от 4 часа.</w:t>
      </w:r>
    </w:p>
    <w:p w14:paraId="24CD9876" w14:textId="77777777" w:rsidR="00A36EEA" w:rsidRPr="00661517" w:rsidRDefault="00A36EEA">
      <w:pPr>
        <w:pStyle w:val="BodyText"/>
        <w:spacing w:before="1"/>
        <w:rPr>
          <w:lang w:val="en-US"/>
        </w:rPr>
      </w:pPr>
    </w:p>
    <w:p w14:paraId="7E5EA2F5" w14:textId="77777777" w:rsidR="00A36EEA" w:rsidRPr="00661517" w:rsidRDefault="000934B0">
      <w:pPr>
        <w:pStyle w:val="ListParagraph"/>
        <w:numPr>
          <w:ilvl w:val="1"/>
          <w:numId w:val="3"/>
        </w:numPr>
        <w:tabs>
          <w:tab w:val="left" w:pos="1526"/>
          <w:tab w:val="left" w:pos="1527"/>
        </w:tabs>
        <w:ind w:right="197"/>
        <w:rPr>
          <w:sz w:val="20"/>
        </w:rPr>
      </w:pPr>
      <w:r>
        <w:rPr>
          <w:sz w:val="20"/>
        </w:rPr>
        <w:t xml:space="preserve">Когато продължителността на пътуването е равна или по-голяма от 4 часа, но по-малка от 8 часа, и не е необходимо настаняване в хотел, на експерта се изплаща една четвърт от дневните надбавки.</w:t>
      </w:r>
      <w:r>
        <w:rPr>
          <w:sz w:val="20"/>
        </w:rPr>
        <w:t xml:space="preserve"> </w:t>
      </w:r>
      <w:r>
        <w:rPr>
          <w:sz w:val="20"/>
        </w:rPr>
        <w:t xml:space="preserve">Същото важи и за всеки период, равен или по-голям от 4 часа, но по-малък от 8 часа, надвишаващ 24 часа или кратен на 24 часа.</w:t>
      </w:r>
    </w:p>
    <w:p w14:paraId="0F9E84C5" w14:textId="77777777" w:rsidR="00A36EEA" w:rsidRPr="00661517" w:rsidRDefault="00A36EEA">
      <w:pPr>
        <w:pStyle w:val="BodyText"/>
        <w:spacing w:before="11"/>
        <w:rPr>
          <w:sz w:val="19"/>
          <w:lang w:val="en-US"/>
        </w:rPr>
      </w:pPr>
    </w:p>
    <w:p w14:paraId="4F584578" w14:textId="77777777" w:rsidR="00A36EEA" w:rsidRPr="00661517" w:rsidRDefault="000934B0">
      <w:pPr>
        <w:pStyle w:val="ListParagraph"/>
        <w:numPr>
          <w:ilvl w:val="1"/>
          <w:numId w:val="3"/>
        </w:numPr>
        <w:tabs>
          <w:tab w:val="left" w:pos="1526"/>
          <w:tab w:val="left" w:pos="1527"/>
        </w:tabs>
        <w:ind w:right="274"/>
        <w:rPr>
          <w:sz w:val="20"/>
        </w:rPr>
      </w:pPr>
      <w:r>
        <w:rPr>
          <w:sz w:val="20"/>
        </w:rPr>
        <w:t xml:space="preserve">Когато продължителността на пътуването е равна или по-голяма от 8 часа, но по-малка от 24 часа, и не е включено настаняване в хотел, на експерта се изплаща половината от дневната надница.</w:t>
      </w:r>
      <w:r>
        <w:rPr>
          <w:sz w:val="20"/>
        </w:rPr>
        <w:t xml:space="preserve"> </w:t>
      </w:r>
      <w:r>
        <w:rPr>
          <w:sz w:val="20"/>
        </w:rPr>
        <w:t xml:space="preserve">Същото важи и за всеки период, равен или по-голям от 8 часа, но по-малък от 24 часа, надвишаващ 24 часа или кратен на 24 часа.</w:t>
      </w:r>
    </w:p>
    <w:p w14:paraId="086DE683" w14:textId="77777777" w:rsidR="00A36EEA" w:rsidRPr="00661517" w:rsidRDefault="00A36EEA">
      <w:pPr>
        <w:pStyle w:val="BodyText"/>
        <w:spacing w:before="11"/>
        <w:rPr>
          <w:sz w:val="19"/>
          <w:lang w:val="en-US"/>
        </w:rPr>
      </w:pPr>
    </w:p>
    <w:p w14:paraId="7B30E1DD" w14:textId="77777777" w:rsidR="00A36EEA" w:rsidRPr="00661517" w:rsidRDefault="000934B0">
      <w:pPr>
        <w:pStyle w:val="ListParagraph"/>
        <w:numPr>
          <w:ilvl w:val="1"/>
          <w:numId w:val="3"/>
        </w:numPr>
        <w:tabs>
          <w:tab w:val="left" w:pos="1526"/>
          <w:tab w:val="left" w:pos="1527"/>
        </w:tabs>
        <w:ind w:right="313"/>
        <w:rPr>
          <w:sz w:val="20"/>
        </w:rPr>
      </w:pPr>
      <w:r>
        <w:rPr>
          <w:sz w:val="20"/>
        </w:rPr>
        <w:t xml:space="preserve">Когато продължителността на пътуването е равна или по-голяма от 4 часа, но по-малка от 24 часа, и е включено настаняване в хотел, на експерта се изплаща пълният размер на дневните надбавки.</w:t>
      </w:r>
      <w:r>
        <w:rPr>
          <w:sz w:val="20"/>
        </w:rPr>
        <w:t xml:space="preserve"> </w:t>
      </w:r>
      <w:r>
        <w:rPr>
          <w:sz w:val="20"/>
        </w:rPr>
        <w:t xml:space="preserve">Същото се прилага за всеки период, равен или по-голям от 4 часа и по-малък от 24 часа, надвишаващ 24 часа или кратен на 24 часа.</w:t>
      </w:r>
    </w:p>
    <w:p w14:paraId="1D55D6EB" w14:textId="77777777" w:rsidR="00A36EEA" w:rsidRPr="00661517" w:rsidRDefault="00A36EEA">
      <w:pPr>
        <w:pStyle w:val="BodyText"/>
        <w:rPr>
          <w:lang w:val="en-US"/>
        </w:rPr>
      </w:pPr>
    </w:p>
    <w:p w14:paraId="0122C420" w14:textId="77777777" w:rsidR="00A36EEA" w:rsidRPr="00661517" w:rsidRDefault="000934B0">
      <w:pPr>
        <w:pStyle w:val="ListParagraph"/>
        <w:numPr>
          <w:ilvl w:val="0"/>
          <w:numId w:val="3"/>
        </w:numPr>
        <w:tabs>
          <w:tab w:val="left" w:pos="821"/>
          <w:tab w:val="left" w:pos="822"/>
        </w:tabs>
        <w:ind w:left="112" w:right="579" w:firstLine="0"/>
        <w:rPr>
          <w:sz w:val="20"/>
        </w:rPr>
      </w:pPr>
      <w:r>
        <w:rPr>
          <w:sz w:val="20"/>
        </w:rPr>
        <w:t xml:space="preserve">В случай на пътуване със самолет, влак или по море, продължителността на пътуването в обратна посока се увеличава за целите на изчисляването на дневните надбавки с фиксиран период от 2 часа.</w:t>
      </w:r>
    </w:p>
    <w:p w14:paraId="2DCAAF6E" w14:textId="77777777" w:rsidR="00A36EEA" w:rsidRPr="00661517" w:rsidRDefault="00A36EEA">
      <w:pPr>
        <w:pStyle w:val="BodyText"/>
        <w:spacing w:before="10"/>
        <w:rPr>
          <w:sz w:val="19"/>
          <w:lang w:val="en-US"/>
        </w:rPr>
      </w:pPr>
    </w:p>
    <w:p w14:paraId="53B8E474" w14:textId="77777777" w:rsidR="00A36EEA" w:rsidRPr="00661517" w:rsidRDefault="000934B0">
      <w:pPr>
        <w:pStyle w:val="ListParagraph"/>
        <w:numPr>
          <w:ilvl w:val="0"/>
          <w:numId w:val="3"/>
        </w:numPr>
        <w:tabs>
          <w:tab w:val="left" w:pos="821"/>
          <w:tab w:val="left" w:pos="822"/>
        </w:tabs>
        <w:spacing w:before="1"/>
        <w:ind w:left="112" w:right="121" w:firstLine="0"/>
        <w:rPr>
          <w:sz w:val="20"/>
        </w:rPr>
      </w:pPr>
      <w:r>
        <w:rPr>
          <w:sz w:val="20"/>
        </w:rPr>
        <w:t xml:space="preserve">Експертите декларират всяка храна или нощувка, които са им предоставени безплатно.</w:t>
      </w:r>
      <w:r>
        <w:rPr>
          <w:sz w:val="20"/>
        </w:rPr>
        <w:t xml:space="preserve"> </w:t>
      </w:r>
      <w:r>
        <w:rPr>
          <w:sz w:val="20"/>
        </w:rPr>
        <w:t xml:space="preserve">Когато нощувката или храната на експертите са предоставени безплатно, дневните надбавки се намаляват, освен ако генералният секретар не реши друго, със следните суми:</w:t>
      </w:r>
    </w:p>
    <w:p w14:paraId="77212525" w14:textId="77777777" w:rsidR="00A36EEA" w:rsidRPr="00661517" w:rsidRDefault="00A36EEA">
      <w:pPr>
        <w:pStyle w:val="BodyText"/>
        <w:rPr>
          <w:sz w:val="12"/>
          <w:lang w:val="en-US"/>
        </w:rPr>
      </w:pPr>
    </w:p>
    <w:p w14:paraId="4D9AED48" w14:textId="77777777" w:rsidR="00A36EEA" w:rsidRPr="00661517" w:rsidRDefault="00A36EEA">
      <w:pPr>
        <w:rPr>
          <w:sz w:val="12"/>
          <w:lang w:val="en-US"/>
        </w:rPr>
        <w:sectPr w:rsidR="00A36EEA" w:rsidRPr="00661517" w:rsidSect="00661517">
          <w:pgSz w:w="11907" w:h="16840" w:code="9"/>
          <w:pgMar w:top="1338" w:right="1021" w:bottom="1134" w:left="1021" w:header="709" w:footer="709" w:gutter="0"/>
          <w:cols w:space="708"/>
        </w:sectPr>
      </w:pPr>
    </w:p>
    <w:p w14:paraId="4B8DD246" w14:textId="77777777" w:rsidR="00A36EEA" w:rsidRPr="00661517" w:rsidRDefault="000934B0">
      <w:pPr>
        <w:pStyle w:val="ListParagraph"/>
        <w:numPr>
          <w:ilvl w:val="0"/>
          <w:numId w:val="2"/>
        </w:numPr>
        <w:tabs>
          <w:tab w:val="left" w:pos="1529"/>
          <w:tab w:val="left" w:pos="1530"/>
        </w:tabs>
        <w:spacing w:before="93"/>
        <w:ind w:right="1223"/>
        <w:rPr>
          <w:sz w:val="20"/>
        </w:rPr>
      </w:pPr>
      <w:r>
        <w:rPr>
          <w:sz w:val="20"/>
        </w:rPr>
        <w:t xml:space="preserve">Нощувка (50 % от дневните разходи)</w:t>
      </w:r>
    </w:p>
    <w:p w14:paraId="1AC8AF95" w14:textId="77777777" w:rsidR="00A36EEA" w:rsidRPr="00661517" w:rsidRDefault="000934B0">
      <w:pPr>
        <w:pStyle w:val="ListParagraph"/>
        <w:numPr>
          <w:ilvl w:val="0"/>
          <w:numId w:val="2"/>
        </w:numPr>
        <w:tabs>
          <w:tab w:val="left" w:pos="1529"/>
          <w:tab w:val="left" w:pos="1530"/>
        </w:tabs>
        <w:ind w:right="38"/>
        <w:rPr>
          <w:sz w:val="20"/>
        </w:rPr>
      </w:pPr>
      <w:r>
        <w:rPr>
          <w:sz w:val="20"/>
        </w:rPr>
        <w:t xml:space="preserve">по отношение на основните хранения (обяд или вечеря) (15 % от дневните надбавки)</w:t>
      </w:r>
    </w:p>
    <w:p w14:paraId="2004AD0A" w14:textId="77777777" w:rsidR="00A36EEA" w:rsidRPr="00661517" w:rsidRDefault="00A36EEA">
      <w:pPr>
        <w:pStyle w:val="BodyText"/>
        <w:spacing w:before="9"/>
        <w:rPr>
          <w:sz w:val="19"/>
          <w:lang w:val="en-US"/>
        </w:rPr>
      </w:pPr>
    </w:p>
    <w:p w14:paraId="6E6F1E2A" w14:textId="77777777" w:rsidR="00A36EEA" w:rsidRPr="00661517" w:rsidRDefault="000934B0">
      <w:pPr>
        <w:pStyle w:val="Heading1"/>
        <w:numPr>
          <w:ilvl w:val="0"/>
          <w:numId w:val="9"/>
        </w:numPr>
        <w:tabs>
          <w:tab w:val="left" w:pos="821"/>
          <w:tab w:val="left" w:pos="822"/>
        </w:tabs>
        <w:ind w:hanging="710"/>
      </w:pPr>
      <w:r>
        <w:t xml:space="preserve">ДРУГИ РАЗХОДИ</w:t>
      </w:r>
    </w:p>
    <w:p w14:paraId="37E520AD" w14:textId="77777777" w:rsidR="00A36EEA" w:rsidRPr="00661517" w:rsidRDefault="00A36EEA">
      <w:pPr>
        <w:pStyle w:val="BodyText"/>
        <w:spacing w:before="10"/>
        <w:rPr>
          <w:b/>
          <w:sz w:val="19"/>
          <w:lang w:val="en-US"/>
        </w:rPr>
      </w:pPr>
    </w:p>
    <w:p w14:paraId="6C236A95" w14:textId="77777777" w:rsidR="00A36EEA" w:rsidRPr="00661517" w:rsidRDefault="000934B0">
      <w:pPr>
        <w:spacing w:before="1"/>
        <w:ind w:left="112"/>
        <w:rPr>
          <w:i/>
          <w:sz w:val="20"/>
        </w:rPr>
      </w:pPr>
      <w:r>
        <w:rPr>
          <w:i/>
          <w:sz w:val="20"/>
        </w:rPr>
        <w:t xml:space="preserve">Член 9</w:t>
      </w:r>
    </w:p>
    <w:p w14:paraId="25BCB8E3" w14:textId="77777777" w:rsidR="00A36EEA" w:rsidRPr="00661517" w:rsidRDefault="000934B0">
      <w:pPr>
        <w:pStyle w:val="BodyText"/>
        <w:spacing w:before="175"/>
        <w:ind w:left="112"/>
      </w:pPr>
      <w:r>
        <w:br w:type="column"/>
      </w:r>
      <w:r>
        <w:t xml:space="preserve">93,00 EUR (на нощувка)</w:t>
      </w:r>
    </w:p>
    <w:p w14:paraId="540D9F86" w14:textId="77777777" w:rsidR="00A36EEA" w:rsidRPr="00661517" w:rsidRDefault="00A36EEA">
      <w:pPr>
        <w:pStyle w:val="BodyText"/>
        <w:spacing w:before="9"/>
        <w:rPr>
          <w:sz w:val="19"/>
          <w:lang w:val="en-US"/>
        </w:rPr>
      </w:pPr>
    </w:p>
    <w:p w14:paraId="29ADC753" w14:textId="77777777" w:rsidR="00A36EEA" w:rsidRPr="00661517" w:rsidRDefault="000934B0">
      <w:pPr>
        <w:pStyle w:val="BodyText"/>
        <w:ind w:left="112"/>
      </w:pPr>
      <w:r>
        <w:t xml:space="preserve">27,90 EUR (на едно хранене)</w:t>
      </w:r>
    </w:p>
    <w:p w14:paraId="0AC4875C" w14:textId="77777777" w:rsidR="00A36EEA" w:rsidRPr="00661517" w:rsidRDefault="00A36EEA">
      <w:pPr>
        <w:rPr>
          <w:lang w:val="en-US"/>
        </w:rPr>
        <w:sectPr w:rsidR="00A36EEA" w:rsidRPr="00661517" w:rsidSect="00661517">
          <w:pgSz w:w="11910" w:h="16850"/>
          <w:pgMar w:top="1600" w:right="1020" w:bottom="280" w:left="1020" w:header="708" w:footer="708" w:gutter="0"/>
          <w:cols w:num="2" w:space="708" w:equalWidth="0">
            <w:col w:w="5254" w:space="1236"/>
            <w:col w:w="3380"/>
          </w:cols>
        </w:sectPr>
      </w:pPr>
    </w:p>
    <w:p w14:paraId="30897D7C" w14:textId="77777777" w:rsidR="00A36EEA" w:rsidRPr="00661517" w:rsidRDefault="00A36EEA">
      <w:pPr>
        <w:pStyle w:val="BodyText"/>
        <w:spacing w:before="2"/>
        <w:rPr>
          <w:sz w:val="12"/>
          <w:lang w:val="en-US"/>
        </w:rPr>
      </w:pPr>
    </w:p>
    <w:p w14:paraId="259FC634" w14:textId="77777777" w:rsidR="00A36EEA" w:rsidRPr="00661517" w:rsidRDefault="000934B0">
      <w:pPr>
        <w:pStyle w:val="ListParagraph"/>
        <w:numPr>
          <w:ilvl w:val="0"/>
          <w:numId w:val="1"/>
        </w:numPr>
        <w:tabs>
          <w:tab w:val="left" w:pos="821"/>
          <w:tab w:val="left" w:pos="822"/>
        </w:tabs>
        <w:spacing w:before="93"/>
        <w:ind w:right="207" w:firstLine="0"/>
        <w:rPr>
          <w:sz w:val="20"/>
        </w:rPr>
      </w:pPr>
      <w:r>
        <w:rPr>
          <w:sz w:val="20"/>
        </w:rPr>
        <w:t xml:space="preserve">Възстановяват се други разходи, направени от експертите във връзка с участието им в срещата, като например такси за визи и разходи за ваксинация, които са абсолютно неизбежни.</w:t>
      </w:r>
      <w:r>
        <w:rPr>
          <w:sz w:val="20"/>
        </w:rPr>
        <w:t xml:space="preserve"> </w:t>
      </w:r>
      <w:r>
        <w:rPr>
          <w:sz w:val="20"/>
        </w:rPr>
        <w:t xml:space="preserve">Тези искания се придружават от доказателства за действително направените разходи.</w:t>
      </w:r>
    </w:p>
    <w:p w14:paraId="7D838FA7" w14:textId="77777777" w:rsidR="00A36EEA" w:rsidRPr="00661517" w:rsidRDefault="00A36EEA">
      <w:pPr>
        <w:pStyle w:val="BodyText"/>
        <w:rPr>
          <w:lang w:val="en-US"/>
        </w:rPr>
      </w:pPr>
    </w:p>
    <w:p w14:paraId="3B2B06E9" w14:textId="77777777" w:rsidR="00A36EEA" w:rsidRPr="00661517" w:rsidRDefault="00A36EEA">
      <w:pPr>
        <w:pStyle w:val="BodyText"/>
        <w:rPr>
          <w:lang w:val="en-US"/>
        </w:rPr>
      </w:pPr>
    </w:p>
    <w:p w14:paraId="7CB4DB41" w14:textId="77777777" w:rsidR="00A36EEA" w:rsidRPr="00661517" w:rsidRDefault="00A36EEA">
      <w:pPr>
        <w:pStyle w:val="BodyText"/>
        <w:rPr>
          <w:lang w:val="en-US"/>
        </w:rPr>
      </w:pPr>
    </w:p>
    <w:p w14:paraId="414C38CF" w14:textId="77777777" w:rsidR="00A36EEA" w:rsidRPr="00661517" w:rsidRDefault="00A36EEA">
      <w:pPr>
        <w:pStyle w:val="BodyText"/>
        <w:rPr>
          <w:lang w:val="en-US"/>
        </w:rPr>
      </w:pPr>
    </w:p>
    <w:p w14:paraId="242C4221" w14:textId="77777777" w:rsidR="00A36EEA" w:rsidRPr="00661517" w:rsidRDefault="00A36EEA">
      <w:pPr>
        <w:pStyle w:val="BodyText"/>
        <w:rPr>
          <w:lang w:val="en-US"/>
        </w:rPr>
      </w:pPr>
    </w:p>
    <w:p w14:paraId="50F1B92A" w14:textId="77777777" w:rsidR="00A36EEA" w:rsidRPr="00661517" w:rsidRDefault="00A36EEA">
      <w:pPr>
        <w:pStyle w:val="BodyText"/>
        <w:rPr>
          <w:lang w:val="en-US"/>
        </w:rPr>
      </w:pPr>
    </w:p>
    <w:p w14:paraId="64595D8B" w14:textId="77777777" w:rsidR="00A36EEA" w:rsidRPr="00661517" w:rsidRDefault="000934B0">
      <w:pPr>
        <w:pStyle w:val="BodyText"/>
        <w:rPr>
          <w:sz w:val="19"/>
        </w:rPr>
      </w:pPr>
      <w:r>
        <w:pict w14:anchorId="25D2C02F">
          <v:shape id="_x0000_s1026" style="position:absolute;margin-left:56.65pt;margin-top:13.15pt;width:144.05pt;height:.1pt;z-index:-251657216;mso-wrap-distance-left:0;mso-wrap-distance-right:0;mso-position-horizontal-relative:page" coordorigin="1133,263" coordsize="2881,0" path="m1133,263r2881,e" filled="f" strokeweight=".48pt">
            <v:path arrowok="t"/>
            <w10:wrap type="topAndBottom" anchorx="page"/>
          </v:shape>
        </w:pict>
      </w:r>
    </w:p>
    <w:p w14:paraId="53667CCE" w14:textId="77777777" w:rsidR="00A36EEA" w:rsidRPr="00661517" w:rsidRDefault="000934B0">
      <w:pPr>
        <w:spacing w:before="30"/>
        <w:ind w:left="112"/>
        <w:rPr>
          <w:sz w:val="10"/>
        </w:rPr>
      </w:pPr>
      <w:r>
        <w:rPr>
          <w:sz w:val="10"/>
        </w:rPr>
        <w:t xml:space="preserve">2</w:t>
      </w:r>
    </w:p>
    <w:p w14:paraId="1DCEC67A" w14:textId="77777777" w:rsidR="00A36EEA" w:rsidRPr="00661517" w:rsidRDefault="000934B0">
      <w:pPr>
        <w:spacing w:before="70"/>
        <w:ind w:left="112"/>
        <w:rPr>
          <w:sz w:val="10"/>
        </w:rPr>
      </w:pPr>
      <w:r>
        <w:rPr>
          <w:sz w:val="10"/>
        </w:rPr>
        <w:t xml:space="preserve">3</w:t>
      </w:r>
    </w:p>
    <w:p w14:paraId="20A0EF6B" w14:textId="77777777" w:rsidR="00A36EEA" w:rsidRPr="00661517" w:rsidRDefault="00A36EEA">
      <w:pPr>
        <w:rPr>
          <w:sz w:val="10"/>
          <w:lang w:val="en-US"/>
        </w:rPr>
        <w:sectPr w:rsidR="00A36EEA" w:rsidRPr="00661517">
          <w:type w:val="continuous"/>
          <w:pgSz w:w="11910" w:h="16850"/>
          <w:pgMar w:top="1600" w:right="1020" w:bottom="280" w:left="1020" w:header="708" w:footer="708" w:gutter="0"/>
          <w:cols w:space="708"/>
        </w:sectPr>
      </w:pPr>
    </w:p>
    <w:p w14:paraId="590D9F15" w14:textId="77777777" w:rsidR="00A36EEA" w:rsidRPr="00661517" w:rsidRDefault="000934B0">
      <w:pPr>
        <w:pStyle w:val="ListParagraph"/>
        <w:numPr>
          <w:ilvl w:val="0"/>
          <w:numId w:val="1"/>
        </w:numPr>
        <w:tabs>
          <w:tab w:val="left" w:pos="821"/>
          <w:tab w:val="left" w:pos="822"/>
        </w:tabs>
        <w:spacing w:before="75"/>
        <w:ind w:right="424" w:firstLine="0"/>
        <w:rPr>
          <w:sz w:val="20"/>
        </w:rPr>
      </w:pPr>
      <w:r>
        <w:rPr>
          <w:sz w:val="20"/>
        </w:rPr>
        <w:t xml:space="preserve">Не се възстановяват разходи, свързани със застраховки, представителни разходи, комуникация по телефон или факс, използване на интернет и наем на заседателни зали.</w:t>
      </w:r>
    </w:p>
    <w:p w14:paraId="7A9CBFD8" w14:textId="77777777" w:rsidR="00A36EEA" w:rsidRPr="00661517" w:rsidRDefault="00A36EEA">
      <w:pPr>
        <w:pStyle w:val="BodyText"/>
        <w:spacing w:before="8"/>
        <w:rPr>
          <w:sz w:val="19"/>
          <w:lang w:val="en-US"/>
        </w:rPr>
      </w:pPr>
    </w:p>
    <w:p w14:paraId="6A78ABCA" w14:textId="77777777" w:rsidR="00A36EEA" w:rsidRPr="00661517" w:rsidRDefault="000934B0">
      <w:pPr>
        <w:pStyle w:val="Heading1"/>
        <w:numPr>
          <w:ilvl w:val="0"/>
          <w:numId w:val="9"/>
        </w:numPr>
        <w:tabs>
          <w:tab w:val="left" w:pos="821"/>
          <w:tab w:val="left" w:pos="822"/>
        </w:tabs>
        <w:ind w:hanging="710"/>
      </w:pPr>
      <w:r>
        <w:t xml:space="preserve">ЗАБОЛЯВАНЕ И ЗЛОПОЛУКА</w:t>
      </w:r>
    </w:p>
    <w:p w14:paraId="32635AFF" w14:textId="77777777" w:rsidR="00A36EEA" w:rsidRPr="00661517" w:rsidRDefault="00A36EEA">
      <w:pPr>
        <w:pStyle w:val="BodyText"/>
        <w:spacing w:before="1"/>
        <w:rPr>
          <w:b/>
          <w:lang w:val="en-US"/>
        </w:rPr>
      </w:pPr>
    </w:p>
    <w:p w14:paraId="28A6B0B8" w14:textId="77777777" w:rsidR="00A36EEA" w:rsidRPr="00661517" w:rsidRDefault="000934B0">
      <w:pPr>
        <w:ind w:left="112"/>
        <w:rPr>
          <w:i/>
          <w:sz w:val="20"/>
        </w:rPr>
      </w:pPr>
      <w:r>
        <w:rPr>
          <w:i/>
          <w:sz w:val="20"/>
        </w:rPr>
        <w:t xml:space="preserve">Член 10</w:t>
      </w:r>
    </w:p>
    <w:p w14:paraId="1DD652A5" w14:textId="77777777" w:rsidR="00A36EEA" w:rsidRPr="00661517" w:rsidRDefault="00A36EEA">
      <w:pPr>
        <w:pStyle w:val="BodyText"/>
        <w:spacing w:before="3"/>
        <w:rPr>
          <w:i/>
          <w:lang w:val="en-US"/>
        </w:rPr>
      </w:pPr>
    </w:p>
    <w:p w14:paraId="422D4893" w14:textId="77777777" w:rsidR="00A36EEA" w:rsidRPr="00661517" w:rsidRDefault="000934B0">
      <w:pPr>
        <w:pStyle w:val="BodyText"/>
        <w:ind w:left="112" w:right="110"/>
      </w:pPr>
      <w:r>
        <w:t xml:space="preserve">Когато пътуват от името на Съвета на Европа, правителствените експерти са покрити по отношение на рисковете, конкретно свързани с това пътуване, чрез застраховка, сключена от Организацията от тяхно име.</w:t>
      </w:r>
      <w:r>
        <w:t xml:space="preserve"> </w:t>
      </w:r>
      <w:r>
        <w:t xml:space="preserve">Въпреки това те са длъжни на първо място да изчерпят всички възможности за изплащане на дължимите им обезщетения по схемата, към която са присъединени в собствената си страна, във връзка с болест и злополука, настъпили по време на пътуването и/или срещата.</w:t>
      </w:r>
    </w:p>
    <w:p w14:paraId="5E4617ED" w14:textId="77777777" w:rsidR="00A36EEA" w:rsidRPr="00661517" w:rsidRDefault="00A36EEA">
      <w:pPr>
        <w:pStyle w:val="BodyText"/>
        <w:spacing w:before="9"/>
        <w:rPr>
          <w:sz w:val="19"/>
          <w:lang w:val="en-US"/>
        </w:rPr>
      </w:pPr>
    </w:p>
    <w:p w14:paraId="4210C7D9" w14:textId="77777777" w:rsidR="00A36EEA" w:rsidRPr="00661517" w:rsidRDefault="000934B0">
      <w:pPr>
        <w:pStyle w:val="Heading1"/>
        <w:numPr>
          <w:ilvl w:val="0"/>
          <w:numId w:val="9"/>
        </w:numPr>
        <w:tabs>
          <w:tab w:val="left" w:pos="821"/>
          <w:tab w:val="left" w:pos="822"/>
        </w:tabs>
        <w:ind w:hanging="710"/>
      </w:pPr>
      <w:r>
        <w:t xml:space="preserve">ВЪЗСТАНОВЯВАНЕ НА СРЕДСТВА</w:t>
      </w:r>
    </w:p>
    <w:p w14:paraId="18CFA720" w14:textId="77777777" w:rsidR="00A36EEA" w:rsidRPr="00661517" w:rsidRDefault="00A36EEA">
      <w:pPr>
        <w:pStyle w:val="BodyText"/>
        <w:spacing w:before="10"/>
        <w:rPr>
          <w:b/>
          <w:sz w:val="19"/>
          <w:lang w:val="en-US"/>
        </w:rPr>
      </w:pPr>
    </w:p>
    <w:p w14:paraId="714B418D" w14:textId="77777777" w:rsidR="00A36EEA" w:rsidRPr="00661517" w:rsidRDefault="000934B0">
      <w:pPr>
        <w:ind w:left="112"/>
        <w:rPr>
          <w:i/>
          <w:sz w:val="20"/>
        </w:rPr>
      </w:pPr>
      <w:r>
        <w:rPr>
          <w:i/>
          <w:sz w:val="20"/>
        </w:rPr>
        <w:t xml:space="preserve">Член 11</w:t>
      </w:r>
    </w:p>
    <w:p w14:paraId="6F1EB0A3" w14:textId="77777777" w:rsidR="00A36EEA" w:rsidRPr="00661517" w:rsidRDefault="00A36EEA">
      <w:pPr>
        <w:pStyle w:val="BodyText"/>
        <w:spacing w:before="4"/>
        <w:rPr>
          <w:i/>
          <w:lang w:val="en-US"/>
        </w:rPr>
      </w:pPr>
    </w:p>
    <w:p w14:paraId="076B4525" w14:textId="77777777" w:rsidR="00A36EEA" w:rsidRPr="00661517" w:rsidRDefault="000934B0">
      <w:pPr>
        <w:pStyle w:val="BodyText"/>
        <w:ind w:left="112" w:right="128"/>
      </w:pPr>
      <w:r>
        <w:t xml:space="preserve">Горепосочените разходи се възстановяват след подаване на искане, заверено от експерта, към което трябва да бъдат приложени всички изисквани от правилата ваучери.</w:t>
      </w:r>
    </w:p>
    <w:sectPr w:rsidR="00A36EEA" w:rsidRPr="00661517">
      <w:pgSz w:w="11910" w:h="16850"/>
      <w:pgMar w:top="134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4033" w14:textId="77777777" w:rsidR="000934B0" w:rsidRDefault="000934B0" w:rsidP="00661517">
      <w:r>
        <w:separator/>
      </w:r>
    </w:p>
  </w:endnote>
  <w:endnote w:type="continuationSeparator" w:id="0">
    <w:p w14:paraId="3C7F6C36" w14:textId="77777777" w:rsidR="000934B0" w:rsidRDefault="000934B0" w:rsidP="0066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6691" w14:textId="77777777" w:rsidR="000934B0" w:rsidRDefault="000934B0" w:rsidP="00661517">
      <w:r>
        <w:separator/>
      </w:r>
    </w:p>
  </w:footnote>
  <w:footnote w:type="continuationSeparator" w:id="0">
    <w:p w14:paraId="3CBA1148" w14:textId="77777777" w:rsidR="000934B0" w:rsidRDefault="000934B0" w:rsidP="00661517">
      <w:r>
        <w:continuationSeparator/>
      </w:r>
    </w:p>
  </w:footnote>
  <w:footnote w:id="1">
    <w:p w14:paraId="4746E5B8" w14:textId="7CA5A45B" w:rsidR="00661517" w:rsidRPr="00661517" w:rsidRDefault="00661517">
      <w:pPr>
        <w:pStyle w:val="FootnoteText"/>
      </w:pPr>
      <w:r>
        <w:rPr>
          <w:rStyle w:val="FootnoteReference"/>
        </w:rPr>
        <w:footnoteRef/>
      </w:r>
      <w:r>
        <w:t xml:space="preserve"> Изменено със CM/Del/Dec(2013)1162/11.4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BB0"/>
    <w:multiLevelType w:val="hybridMultilevel"/>
    <w:tmpl w:val="075CBEBA"/>
    <w:lvl w:ilvl="0" w:tplc="A06860F6">
      <w:start w:val="1"/>
      <w:numFmt w:val="decimal"/>
      <w:lvlText w:val="%1."/>
      <w:lvlJc w:val="left"/>
      <w:pPr>
        <w:ind w:left="112" w:hanging="709"/>
        <w:jc w:val="left"/>
      </w:pPr>
      <w:rPr>
        <w:rFonts w:ascii="Arial" w:eastAsia="Arial" w:hAnsi="Arial" w:cs="Arial" w:hint="default"/>
        <w:spacing w:val="-1"/>
        <w:w w:val="99"/>
        <w:sz w:val="20"/>
        <w:szCs w:val="20"/>
        <w:lang w:val="fr-FR" w:eastAsia="fr-FR" w:bidi="fr-FR"/>
      </w:rPr>
    </w:lvl>
    <w:lvl w:ilvl="1" w:tplc="3BDCE752">
      <w:numFmt w:val="bullet"/>
      <w:lvlText w:val="•"/>
      <w:lvlJc w:val="left"/>
      <w:pPr>
        <w:ind w:left="1094" w:hanging="709"/>
      </w:pPr>
      <w:rPr>
        <w:rFonts w:hint="default"/>
        <w:lang w:val="fr-FR" w:eastAsia="fr-FR" w:bidi="fr-FR"/>
      </w:rPr>
    </w:lvl>
    <w:lvl w:ilvl="2" w:tplc="CA4ECEC2">
      <w:numFmt w:val="bullet"/>
      <w:lvlText w:val="•"/>
      <w:lvlJc w:val="left"/>
      <w:pPr>
        <w:ind w:left="2069" w:hanging="709"/>
      </w:pPr>
      <w:rPr>
        <w:rFonts w:hint="default"/>
        <w:lang w:val="fr-FR" w:eastAsia="fr-FR" w:bidi="fr-FR"/>
      </w:rPr>
    </w:lvl>
    <w:lvl w:ilvl="3" w:tplc="75BAC5D6">
      <w:numFmt w:val="bullet"/>
      <w:lvlText w:val="•"/>
      <w:lvlJc w:val="left"/>
      <w:pPr>
        <w:ind w:left="3043" w:hanging="709"/>
      </w:pPr>
      <w:rPr>
        <w:rFonts w:hint="default"/>
        <w:lang w:val="fr-FR" w:eastAsia="fr-FR" w:bidi="fr-FR"/>
      </w:rPr>
    </w:lvl>
    <w:lvl w:ilvl="4" w:tplc="5B30A454">
      <w:numFmt w:val="bullet"/>
      <w:lvlText w:val="•"/>
      <w:lvlJc w:val="left"/>
      <w:pPr>
        <w:ind w:left="4018" w:hanging="709"/>
      </w:pPr>
      <w:rPr>
        <w:rFonts w:hint="default"/>
        <w:lang w:val="fr-FR" w:eastAsia="fr-FR" w:bidi="fr-FR"/>
      </w:rPr>
    </w:lvl>
    <w:lvl w:ilvl="5" w:tplc="CFFEF030">
      <w:numFmt w:val="bullet"/>
      <w:lvlText w:val="•"/>
      <w:lvlJc w:val="left"/>
      <w:pPr>
        <w:ind w:left="4993" w:hanging="709"/>
      </w:pPr>
      <w:rPr>
        <w:rFonts w:hint="default"/>
        <w:lang w:val="fr-FR" w:eastAsia="fr-FR" w:bidi="fr-FR"/>
      </w:rPr>
    </w:lvl>
    <w:lvl w:ilvl="6" w:tplc="F968C52C">
      <w:numFmt w:val="bullet"/>
      <w:lvlText w:val="•"/>
      <w:lvlJc w:val="left"/>
      <w:pPr>
        <w:ind w:left="5967" w:hanging="709"/>
      </w:pPr>
      <w:rPr>
        <w:rFonts w:hint="default"/>
        <w:lang w:val="fr-FR" w:eastAsia="fr-FR" w:bidi="fr-FR"/>
      </w:rPr>
    </w:lvl>
    <w:lvl w:ilvl="7" w:tplc="A964CA48">
      <w:numFmt w:val="bullet"/>
      <w:lvlText w:val="•"/>
      <w:lvlJc w:val="left"/>
      <w:pPr>
        <w:ind w:left="6942" w:hanging="709"/>
      </w:pPr>
      <w:rPr>
        <w:rFonts w:hint="default"/>
        <w:lang w:val="fr-FR" w:eastAsia="fr-FR" w:bidi="fr-FR"/>
      </w:rPr>
    </w:lvl>
    <w:lvl w:ilvl="8" w:tplc="B112A5BE">
      <w:numFmt w:val="bullet"/>
      <w:lvlText w:val="•"/>
      <w:lvlJc w:val="left"/>
      <w:pPr>
        <w:ind w:left="7917" w:hanging="709"/>
      </w:pPr>
      <w:rPr>
        <w:rFonts w:hint="default"/>
        <w:lang w:val="fr-FR" w:eastAsia="fr-FR" w:bidi="fr-FR"/>
      </w:rPr>
    </w:lvl>
  </w:abstractNum>
  <w:abstractNum w:abstractNumId="1" w15:restartNumberingAfterBreak="0">
    <w:nsid w:val="099C576D"/>
    <w:multiLevelType w:val="hybridMultilevel"/>
    <w:tmpl w:val="75884916"/>
    <w:lvl w:ilvl="0" w:tplc="1F3A39FA">
      <w:numFmt w:val="bullet"/>
      <w:lvlText w:val="-"/>
      <w:lvlJc w:val="left"/>
      <w:pPr>
        <w:ind w:left="1529" w:hanging="708"/>
      </w:pPr>
      <w:rPr>
        <w:rFonts w:ascii="Arial" w:eastAsia="Arial" w:hAnsi="Arial" w:cs="Arial" w:hint="default"/>
        <w:w w:val="99"/>
        <w:sz w:val="20"/>
        <w:szCs w:val="20"/>
        <w:lang w:val="fr-FR" w:eastAsia="fr-FR" w:bidi="fr-FR"/>
      </w:rPr>
    </w:lvl>
    <w:lvl w:ilvl="1" w:tplc="BABC450E">
      <w:numFmt w:val="bullet"/>
      <w:lvlText w:val="•"/>
      <w:lvlJc w:val="left"/>
      <w:pPr>
        <w:ind w:left="1893" w:hanging="708"/>
      </w:pPr>
      <w:rPr>
        <w:rFonts w:hint="default"/>
        <w:lang w:val="fr-FR" w:eastAsia="fr-FR" w:bidi="fr-FR"/>
      </w:rPr>
    </w:lvl>
    <w:lvl w:ilvl="2" w:tplc="A7D04270">
      <w:numFmt w:val="bullet"/>
      <w:lvlText w:val="•"/>
      <w:lvlJc w:val="left"/>
      <w:pPr>
        <w:ind w:left="2266" w:hanging="708"/>
      </w:pPr>
      <w:rPr>
        <w:rFonts w:hint="default"/>
        <w:lang w:val="fr-FR" w:eastAsia="fr-FR" w:bidi="fr-FR"/>
      </w:rPr>
    </w:lvl>
    <w:lvl w:ilvl="3" w:tplc="1D78D860">
      <w:numFmt w:val="bullet"/>
      <w:lvlText w:val="•"/>
      <w:lvlJc w:val="left"/>
      <w:pPr>
        <w:ind w:left="2640" w:hanging="708"/>
      </w:pPr>
      <w:rPr>
        <w:rFonts w:hint="default"/>
        <w:lang w:val="fr-FR" w:eastAsia="fr-FR" w:bidi="fr-FR"/>
      </w:rPr>
    </w:lvl>
    <w:lvl w:ilvl="4" w:tplc="68FABDF4">
      <w:numFmt w:val="bullet"/>
      <w:lvlText w:val="•"/>
      <w:lvlJc w:val="left"/>
      <w:pPr>
        <w:ind w:left="3013" w:hanging="708"/>
      </w:pPr>
      <w:rPr>
        <w:rFonts w:hint="default"/>
        <w:lang w:val="fr-FR" w:eastAsia="fr-FR" w:bidi="fr-FR"/>
      </w:rPr>
    </w:lvl>
    <w:lvl w:ilvl="5" w:tplc="B1A23F0C">
      <w:numFmt w:val="bullet"/>
      <w:lvlText w:val="•"/>
      <w:lvlJc w:val="left"/>
      <w:pPr>
        <w:ind w:left="3386" w:hanging="708"/>
      </w:pPr>
      <w:rPr>
        <w:rFonts w:hint="default"/>
        <w:lang w:val="fr-FR" w:eastAsia="fr-FR" w:bidi="fr-FR"/>
      </w:rPr>
    </w:lvl>
    <w:lvl w:ilvl="6" w:tplc="105E2A0C">
      <w:numFmt w:val="bullet"/>
      <w:lvlText w:val="•"/>
      <w:lvlJc w:val="left"/>
      <w:pPr>
        <w:ind w:left="3760" w:hanging="708"/>
      </w:pPr>
      <w:rPr>
        <w:rFonts w:hint="default"/>
        <w:lang w:val="fr-FR" w:eastAsia="fr-FR" w:bidi="fr-FR"/>
      </w:rPr>
    </w:lvl>
    <w:lvl w:ilvl="7" w:tplc="6BAC31BC">
      <w:numFmt w:val="bullet"/>
      <w:lvlText w:val="•"/>
      <w:lvlJc w:val="left"/>
      <w:pPr>
        <w:ind w:left="4133" w:hanging="708"/>
      </w:pPr>
      <w:rPr>
        <w:rFonts w:hint="default"/>
        <w:lang w:val="fr-FR" w:eastAsia="fr-FR" w:bidi="fr-FR"/>
      </w:rPr>
    </w:lvl>
    <w:lvl w:ilvl="8" w:tplc="7E5E3B5E">
      <w:numFmt w:val="bullet"/>
      <w:lvlText w:val="•"/>
      <w:lvlJc w:val="left"/>
      <w:pPr>
        <w:ind w:left="4507" w:hanging="708"/>
      </w:pPr>
      <w:rPr>
        <w:rFonts w:hint="default"/>
        <w:lang w:val="fr-FR" w:eastAsia="fr-FR" w:bidi="fr-FR"/>
      </w:rPr>
    </w:lvl>
  </w:abstractNum>
  <w:abstractNum w:abstractNumId="2" w15:restartNumberingAfterBreak="0">
    <w:nsid w:val="0BBD04AD"/>
    <w:multiLevelType w:val="hybridMultilevel"/>
    <w:tmpl w:val="3402B59E"/>
    <w:lvl w:ilvl="0" w:tplc="EEDE7914">
      <w:start w:val="1"/>
      <w:numFmt w:val="decimal"/>
      <w:lvlText w:val="%1."/>
      <w:lvlJc w:val="left"/>
      <w:pPr>
        <w:ind w:left="821" w:hanging="709"/>
        <w:jc w:val="left"/>
      </w:pPr>
      <w:rPr>
        <w:rFonts w:ascii="Arial" w:eastAsia="Arial" w:hAnsi="Arial" w:cs="Arial" w:hint="default"/>
        <w:spacing w:val="-1"/>
        <w:w w:val="99"/>
        <w:sz w:val="20"/>
        <w:szCs w:val="20"/>
        <w:lang w:val="fr-FR" w:eastAsia="fr-FR" w:bidi="fr-FR"/>
      </w:rPr>
    </w:lvl>
    <w:lvl w:ilvl="1" w:tplc="711227D6">
      <w:start w:val="1"/>
      <w:numFmt w:val="lowerRoman"/>
      <w:lvlText w:val="%2."/>
      <w:lvlJc w:val="left"/>
      <w:pPr>
        <w:ind w:left="1526" w:hanging="706"/>
        <w:jc w:val="left"/>
      </w:pPr>
      <w:rPr>
        <w:rFonts w:ascii="Arial" w:eastAsia="Arial" w:hAnsi="Arial" w:cs="Arial" w:hint="default"/>
        <w:spacing w:val="-4"/>
        <w:w w:val="99"/>
        <w:sz w:val="20"/>
        <w:szCs w:val="20"/>
        <w:lang w:val="fr-FR" w:eastAsia="fr-FR" w:bidi="fr-FR"/>
      </w:rPr>
    </w:lvl>
    <w:lvl w:ilvl="2" w:tplc="BDB8AE0E">
      <w:numFmt w:val="bullet"/>
      <w:lvlText w:val="•"/>
      <w:lvlJc w:val="left"/>
      <w:pPr>
        <w:ind w:left="2447" w:hanging="706"/>
      </w:pPr>
      <w:rPr>
        <w:rFonts w:hint="default"/>
        <w:lang w:val="fr-FR" w:eastAsia="fr-FR" w:bidi="fr-FR"/>
      </w:rPr>
    </w:lvl>
    <w:lvl w:ilvl="3" w:tplc="C434A900">
      <w:numFmt w:val="bullet"/>
      <w:lvlText w:val="•"/>
      <w:lvlJc w:val="left"/>
      <w:pPr>
        <w:ind w:left="3374" w:hanging="706"/>
      </w:pPr>
      <w:rPr>
        <w:rFonts w:hint="default"/>
        <w:lang w:val="fr-FR" w:eastAsia="fr-FR" w:bidi="fr-FR"/>
      </w:rPr>
    </w:lvl>
    <w:lvl w:ilvl="4" w:tplc="0494160E">
      <w:numFmt w:val="bullet"/>
      <w:lvlText w:val="•"/>
      <w:lvlJc w:val="left"/>
      <w:pPr>
        <w:ind w:left="4302" w:hanging="706"/>
      </w:pPr>
      <w:rPr>
        <w:rFonts w:hint="default"/>
        <w:lang w:val="fr-FR" w:eastAsia="fr-FR" w:bidi="fr-FR"/>
      </w:rPr>
    </w:lvl>
    <w:lvl w:ilvl="5" w:tplc="7776889E">
      <w:numFmt w:val="bullet"/>
      <w:lvlText w:val="•"/>
      <w:lvlJc w:val="left"/>
      <w:pPr>
        <w:ind w:left="5229" w:hanging="706"/>
      </w:pPr>
      <w:rPr>
        <w:rFonts w:hint="default"/>
        <w:lang w:val="fr-FR" w:eastAsia="fr-FR" w:bidi="fr-FR"/>
      </w:rPr>
    </w:lvl>
    <w:lvl w:ilvl="6" w:tplc="841A7130">
      <w:numFmt w:val="bullet"/>
      <w:lvlText w:val="•"/>
      <w:lvlJc w:val="left"/>
      <w:pPr>
        <w:ind w:left="6156" w:hanging="706"/>
      </w:pPr>
      <w:rPr>
        <w:rFonts w:hint="default"/>
        <w:lang w:val="fr-FR" w:eastAsia="fr-FR" w:bidi="fr-FR"/>
      </w:rPr>
    </w:lvl>
    <w:lvl w:ilvl="7" w:tplc="AAA4E462">
      <w:numFmt w:val="bullet"/>
      <w:lvlText w:val="•"/>
      <w:lvlJc w:val="left"/>
      <w:pPr>
        <w:ind w:left="7084" w:hanging="706"/>
      </w:pPr>
      <w:rPr>
        <w:rFonts w:hint="default"/>
        <w:lang w:val="fr-FR" w:eastAsia="fr-FR" w:bidi="fr-FR"/>
      </w:rPr>
    </w:lvl>
    <w:lvl w:ilvl="8" w:tplc="047C8A4E">
      <w:numFmt w:val="bullet"/>
      <w:lvlText w:val="•"/>
      <w:lvlJc w:val="left"/>
      <w:pPr>
        <w:ind w:left="8011" w:hanging="706"/>
      </w:pPr>
      <w:rPr>
        <w:rFonts w:hint="default"/>
        <w:lang w:val="fr-FR" w:eastAsia="fr-FR" w:bidi="fr-FR"/>
      </w:rPr>
    </w:lvl>
  </w:abstractNum>
  <w:abstractNum w:abstractNumId="3" w15:restartNumberingAfterBreak="0">
    <w:nsid w:val="2FC420D0"/>
    <w:multiLevelType w:val="hybridMultilevel"/>
    <w:tmpl w:val="16ECA6A8"/>
    <w:lvl w:ilvl="0" w:tplc="1736DBA8">
      <w:start w:val="1"/>
      <w:numFmt w:val="decimal"/>
      <w:lvlText w:val="%1."/>
      <w:lvlJc w:val="left"/>
      <w:pPr>
        <w:ind w:left="112" w:hanging="709"/>
        <w:jc w:val="left"/>
      </w:pPr>
      <w:rPr>
        <w:rFonts w:ascii="Arial" w:eastAsia="Arial" w:hAnsi="Arial" w:cs="Arial" w:hint="default"/>
        <w:spacing w:val="-1"/>
        <w:w w:val="99"/>
        <w:sz w:val="20"/>
        <w:szCs w:val="20"/>
        <w:lang w:val="fr-FR" w:eastAsia="fr-FR" w:bidi="fr-FR"/>
      </w:rPr>
    </w:lvl>
    <w:lvl w:ilvl="1" w:tplc="3446BEB0">
      <w:numFmt w:val="bullet"/>
      <w:lvlText w:val="•"/>
      <w:lvlJc w:val="left"/>
      <w:pPr>
        <w:ind w:left="1094" w:hanging="709"/>
      </w:pPr>
      <w:rPr>
        <w:rFonts w:hint="default"/>
        <w:lang w:val="fr-FR" w:eastAsia="fr-FR" w:bidi="fr-FR"/>
      </w:rPr>
    </w:lvl>
    <w:lvl w:ilvl="2" w:tplc="0BBA5A9E">
      <w:numFmt w:val="bullet"/>
      <w:lvlText w:val="•"/>
      <w:lvlJc w:val="left"/>
      <w:pPr>
        <w:ind w:left="2069" w:hanging="709"/>
      </w:pPr>
      <w:rPr>
        <w:rFonts w:hint="default"/>
        <w:lang w:val="fr-FR" w:eastAsia="fr-FR" w:bidi="fr-FR"/>
      </w:rPr>
    </w:lvl>
    <w:lvl w:ilvl="3" w:tplc="FBEE93B4">
      <w:numFmt w:val="bullet"/>
      <w:lvlText w:val="•"/>
      <w:lvlJc w:val="left"/>
      <w:pPr>
        <w:ind w:left="3043" w:hanging="709"/>
      </w:pPr>
      <w:rPr>
        <w:rFonts w:hint="default"/>
        <w:lang w:val="fr-FR" w:eastAsia="fr-FR" w:bidi="fr-FR"/>
      </w:rPr>
    </w:lvl>
    <w:lvl w:ilvl="4" w:tplc="E27C51FE">
      <w:numFmt w:val="bullet"/>
      <w:lvlText w:val="•"/>
      <w:lvlJc w:val="left"/>
      <w:pPr>
        <w:ind w:left="4018" w:hanging="709"/>
      </w:pPr>
      <w:rPr>
        <w:rFonts w:hint="default"/>
        <w:lang w:val="fr-FR" w:eastAsia="fr-FR" w:bidi="fr-FR"/>
      </w:rPr>
    </w:lvl>
    <w:lvl w:ilvl="5" w:tplc="F904BFAE">
      <w:numFmt w:val="bullet"/>
      <w:lvlText w:val="•"/>
      <w:lvlJc w:val="left"/>
      <w:pPr>
        <w:ind w:left="4993" w:hanging="709"/>
      </w:pPr>
      <w:rPr>
        <w:rFonts w:hint="default"/>
        <w:lang w:val="fr-FR" w:eastAsia="fr-FR" w:bidi="fr-FR"/>
      </w:rPr>
    </w:lvl>
    <w:lvl w:ilvl="6" w:tplc="11A40B9C">
      <w:numFmt w:val="bullet"/>
      <w:lvlText w:val="•"/>
      <w:lvlJc w:val="left"/>
      <w:pPr>
        <w:ind w:left="5967" w:hanging="709"/>
      </w:pPr>
      <w:rPr>
        <w:rFonts w:hint="default"/>
        <w:lang w:val="fr-FR" w:eastAsia="fr-FR" w:bidi="fr-FR"/>
      </w:rPr>
    </w:lvl>
    <w:lvl w:ilvl="7" w:tplc="BACEF0D6">
      <w:numFmt w:val="bullet"/>
      <w:lvlText w:val="•"/>
      <w:lvlJc w:val="left"/>
      <w:pPr>
        <w:ind w:left="6942" w:hanging="709"/>
      </w:pPr>
      <w:rPr>
        <w:rFonts w:hint="default"/>
        <w:lang w:val="fr-FR" w:eastAsia="fr-FR" w:bidi="fr-FR"/>
      </w:rPr>
    </w:lvl>
    <w:lvl w:ilvl="8" w:tplc="C338EC60">
      <w:numFmt w:val="bullet"/>
      <w:lvlText w:val="•"/>
      <w:lvlJc w:val="left"/>
      <w:pPr>
        <w:ind w:left="7917" w:hanging="709"/>
      </w:pPr>
      <w:rPr>
        <w:rFonts w:hint="default"/>
        <w:lang w:val="fr-FR" w:eastAsia="fr-FR" w:bidi="fr-FR"/>
      </w:rPr>
    </w:lvl>
  </w:abstractNum>
  <w:abstractNum w:abstractNumId="4" w15:restartNumberingAfterBreak="0">
    <w:nsid w:val="36DF412D"/>
    <w:multiLevelType w:val="hybridMultilevel"/>
    <w:tmpl w:val="15F6EB9A"/>
    <w:lvl w:ilvl="0" w:tplc="FDAC7DE0">
      <w:start w:val="1"/>
      <w:numFmt w:val="decimal"/>
      <w:lvlText w:val="%1."/>
      <w:lvlJc w:val="left"/>
      <w:pPr>
        <w:ind w:left="112" w:hanging="709"/>
        <w:jc w:val="left"/>
      </w:pPr>
      <w:rPr>
        <w:rFonts w:ascii="Arial" w:eastAsia="Arial" w:hAnsi="Arial" w:cs="Arial" w:hint="default"/>
        <w:spacing w:val="-1"/>
        <w:w w:val="99"/>
        <w:sz w:val="20"/>
        <w:szCs w:val="20"/>
        <w:lang w:val="fr-FR" w:eastAsia="fr-FR" w:bidi="fr-FR"/>
      </w:rPr>
    </w:lvl>
    <w:lvl w:ilvl="1" w:tplc="79D0C10A">
      <w:numFmt w:val="bullet"/>
      <w:lvlText w:val="•"/>
      <w:lvlJc w:val="left"/>
      <w:pPr>
        <w:ind w:left="1094" w:hanging="709"/>
      </w:pPr>
      <w:rPr>
        <w:rFonts w:hint="default"/>
        <w:lang w:val="fr-FR" w:eastAsia="fr-FR" w:bidi="fr-FR"/>
      </w:rPr>
    </w:lvl>
    <w:lvl w:ilvl="2" w:tplc="236C6A9E">
      <w:numFmt w:val="bullet"/>
      <w:lvlText w:val="•"/>
      <w:lvlJc w:val="left"/>
      <w:pPr>
        <w:ind w:left="2069" w:hanging="709"/>
      </w:pPr>
      <w:rPr>
        <w:rFonts w:hint="default"/>
        <w:lang w:val="fr-FR" w:eastAsia="fr-FR" w:bidi="fr-FR"/>
      </w:rPr>
    </w:lvl>
    <w:lvl w:ilvl="3" w:tplc="C7186BDA">
      <w:numFmt w:val="bullet"/>
      <w:lvlText w:val="•"/>
      <w:lvlJc w:val="left"/>
      <w:pPr>
        <w:ind w:left="3043" w:hanging="709"/>
      </w:pPr>
      <w:rPr>
        <w:rFonts w:hint="default"/>
        <w:lang w:val="fr-FR" w:eastAsia="fr-FR" w:bidi="fr-FR"/>
      </w:rPr>
    </w:lvl>
    <w:lvl w:ilvl="4" w:tplc="041C29E0">
      <w:numFmt w:val="bullet"/>
      <w:lvlText w:val="•"/>
      <w:lvlJc w:val="left"/>
      <w:pPr>
        <w:ind w:left="4018" w:hanging="709"/>
      </w:pPr>
      <w:rPr>
        <w:rFonts w:hint="default"/>
        <w:lang w:val="fr-FR" w:eastAsia="fr-FR" w:bidi="fr-FR"/>
      </w:rPr>
    </w:lvl>
    <w:lvl w:ilvl="5" w:tplc="BDF298A4">
      <w:numFmt w:val="bullet"/>
      <w:lvlText w:val="•"/>
      <w:lvlJc w:val="left"/>
      <w:pPr>
        <w:ind w:left="4993" w:hanging="709"/>
      </w:pPr>
      <w:rPr>
        <w:rFonts w:hint="default"/>
        <w:lang w:val="fr-FR" w:eastAsia="fr-FR" w:bidi="fr-FR"/>
      </w:rPr>
    </w:lvl>
    <w:lvl w:ilvl="6" w:tplc="734ED196">
      <w:numFmt w:val="bullet"/>
      <w:lvlText w:val="•"/>
      <w:lvlJc w:val="left"/>
      <w:pPr>
        <w:ind w:left="5967" w:hanging="709"/>
      </w:pPr>
      <w:rPr>
        <w:rFonts w:hint="default"/>
        <w:lang w:val="fr-FR" w:eastAsia="fr-FR" w:bidi="fr-FR"/>
      </w:rPr>
    </w:lvl>
    <w:lvl w:ilvl="7" w:tplc="146836FC">
      <w:numFmt w:val="bullet"/>
      <w:lvlText w:val="•"/>
      <w:lvlJc w:val="left"/>
      <w:pPr>
        <w:ind w:left="6942" w:hanging="709"/>
      </w:pPr>
      <w:rPr>
        <w:rFonts w:hint="default"/>
        <w:lang w:val="fr-FR" w:eastAsia="fr-FR" w:bidi="fr-FR"/>
      </w:rPr>
    </w:lvl>
    <w:lvl w:ilvl="8" w:tplc="F182B03C">
      <w:numFmt w:val="bullet"/>
      <w:lvlText w:val="•"/>
      <w:lvlJc w:val="left"/>
      <w:pPr>
        <w:ind w:left="7917" w:hanging="709"/>
      </w:pPr>
      <w:rPr>
        <w:rFonts w:hint="default"/>
        <w:lang w:val="fr-FR" w:eastAsia="fr-FR" w:bidi="fr-FR"/>
      </w:rPr>
    </w:lvl>
  </w:abstractNum>
  <w:abstractNum w:abstractNumId="5" w15:restartNumberingAfterBreak="0">
    <w:nsid w:val="43927569"/>
    <w:multiLevelType w:val="hybridMultilevel"/>
    <w:tmpl w:val="02A6E6D8"/>
    <w:lvl w:ilvl="0" w:tplc="8A6A84E2">
      <w:start w:val="1"/>
      <w:numFmt w:val="decimal"/>
      <w:lvlText w:val="%1."/>
      <w:lvlJc w:val="left"/>
      <w:pPr>
        <w:ind w:left="112" w:hanging="709"/>
        <w:jc w:val="left"/>
      </w:pPr>
      <w:rPr>
        <w:rFonts w:ascii="Arial" w:eastAsia="Arial" w:hAnsi="Arial" w:cs="Arial" w:hint="default"/>
        <w:spacing w:val="-1"/>
        <w:w w:val="99"/>
        <w:sz w:val="20"/>
        <w:szCs w:val="20"/>
        <w:lang w:val="fr-FR" w:eastAsia="fr-FR" w:bidi="fr-FR"/>
      </w:rPr>
    </w:lvl>
    <w:lvl w:ilvl="1" w:tplc="76147B36">
      <w:numFmt w:val="bullet"/>
      <w:lvlText w:val="•"/>
      <w:lvlJc w:val="left"/>
      <w:pPr>
        <w:ind w:left="1094" w:hanging="709"/>
      </w:pPr>
      <w:rPr>
        <w:rFonts w:hint="default"/>
        <w:lang w:val="fr-FR" w:eastAsia="fr-FR" w:bidi="fr-FR"/>
      </w:rPr>
    </w:lvl>
    <w:lvl w:ilvl="2" w:tplc="368A9F90">
      <w:numFmt w:val="bullet"/>
      <w:lvlText w:val="•"/>
      <w:lvlJc w:val="left"/>
      <w:pPr>
        <w:ind w:left="2069" w:hanging="709"/>
      </w:pPr>
      <w:rPr>
        <w:rFonts w:hint="default"/>
        <w:lang w:val="fr-FR" w:eastAsia="fr-FR" w:bidi="fr-FR"/>
      </w:rPr>
    </w:lvl>
    <w:lvl w:ilvl="3" w:tplc="FF76F432">
      <w:numFmt w:val="bullet"/>
      <w:lvlText w:val="•"/>
      <w:lvlJc w:val="left"/>
      <w:pPr>
        <w:ind w:left="3043" w:hanging="709"/>
      </w:pPr>
      <w:rPr>
        <w:rFonts w:hint="default"/>
        <w:lang w:val="fr-FR" w:eastAsia="fr-FR" w:bidi="fr-FR"/>
      </w:rPr>
    </w:lvl>
    <w:lvl w:ilvl="4" w:tplc="C94E538C">
      <w:numFmt w:val="bullet"/>
      <w:lvlText w:val="•"/>
      <w:lvlJc w:val="left"/>
      <w:pPr>
        <w:ind w:left="4018" w:hanging="709"/>
      </w:pPr>
      <w:rPr>
        <w:rFonts w:hint="default"/>
        <w:lang w:val="fr-FR" w:eastAsia="fr-FR" w:bidi="fr-FR"/>
      </w:rPr>
    </w:lvl>
    <w:lvl w:ilvl="5" w:tplc="98C669E8">
      <w:numFmt w:val="bullet"/>
      <w:lvlText w:val="•"/>
      <w:lvlJc w:val="left"/>
      <w:pPr>
        <w:ind w:left="4993" w:hanging="709"/>
      </w:pPr>
      <w:rPr>
        <w:rFonts w:hint="default"/>
        <w:lang w:val="fr-FR" w:eastAsia="fr-FR" w:bidi="fr-FR"/>
      </w:rPr>
    </w:lvl>
    <w:lvl w:ilvl="6" w:tplc="72862170">
      <w:numFmt w:val="bullet"/>
      <w:lvlText w:val="•"/>
      <w:lvlJc w:val="left"/>
      <w:pPr>
        <w:ind w:left="5967" w:hanging="709"/>
      </w:pPr>
      <w:rPr>
        <w:rFonts w:hint="default"/>
        <w:lang w:val="fr-FR" w:eastAsia="fr-FR" w:bidi="fr-FR"/>
      </w:rPr>
    </w:lvl>
    <w:lvl w:ilvl="7" w:tplc="489CF7AE">
      <w:numFmt w:val="bullet"/>
      <w:lvlText w:val="•"/>
      <w:lvlJc w:val="left"/>
      <w:pPr>
        <w:ind w:left="6942" w:hanging="709"/>
      </w:pPr>
      <w:rPr>
        <w:rFonts w:hint="default"/>
        <w:lang w:val="fr-FR" w:eastAsia="fr-FR" w:bidi="fr-FR"/>
      </w:rPr>
    </w:lvl>
    <w:lvl w:ilvl="8" w:tplc="63E0100A">
      <w:numFmt w:val="bullet"/>
      <w:lvlText w:val="•"/>
      <w:lvlJc w:val="left"/>
      <w:pPr>
        <w:ind w:left="7917" w:hanging="709"/>
      </w:pPr>
      <w:rPr>
        <w:rFonts w:hint="default"/>
        <w:lang w:val="fr-FR" w:eastAsia="fr-FR" w:bidi="fr-FR"/>
      </w:rPr>
    </w:lvl>
  </w:abstractNum>
  <w:abstractNum w:abstractNumId="6" w15:restartNumberingAfterBreak="0">
    <w:nsid w:val="5930440C"/>
    <w:multiLevelType w:val="hybridMultilevel"/>
    <w:tmpl w:val="6D48D356"/>
    <w:lvl w:ilvl="0" w:tplc="219EFD4C">
      <w:start w:val="1"/>
      <w:numFmt w:val="decimal"/>
      <w:lvlText w:val="%1."/>
      <w:lvlJc w:val="left"/>
      <w:pPr>
        <w:ind w:left="821" w:hanging="709"/>
        <w:jc w:val="left"/>
      </w:pPr>
      <w:rPr>
        <w:rFonts w:ascii="Arial" w:eastAsia="Arial" w:hAnsi="Arial" w:cs="Arial" w:hint="default"/>
        <w:b/>
        <w:bCs/>
        <w:spacing w:val="-3"/>
        <w:w w:val="99"/>
        <w:sz w:val="20"/>
        <w:szCs w:val="20"/>
        <w:lang w:val="fr-FR" w:eastAsia="fr-FR" w:bidi="fr-FR"/>
      </w:rPr>
    </w:lvl>
    <w:lvl w:ilvl="1" w:tplc="E07A3D26">
      <w:numFmt w:val="bullet"/>
      <w:lvlText w:val="-"/>
      <w:lvlJc w:val="left"/>
      <w:pPr>
        <w:ind w:left="1529" w:hanging="708"/>
      </w:pPr>
      <w:rPr>
        <w:rFonts w:ascii="Arial" w:eastAsia="Arial" w:hAnsi="Arial" w:cs="Arial" w:hint="default"/>
        <w:w w:val="99"/>
        <w:sz w:val="20"/>
        <w:szCs w:val="20"/>
        <w:lang w:val="fr-FR" w:eastAsia="fr-FR" w:bidi="fr-FR"/>
      </w:rPr>
    </w:lvl>
    <w:lvl w:ilvl="2" w:tplc="34481424">
      <w:numFmt w:val="bullet"/>
      <w:lvlText w:val="•"/>
      <w:lvlJc w:val="left"/>
      <w:pPr>
        <w:ind w:left="2447" w:hanging="708"/>
      </w:pPr>
      <w:rPr>
        <w:rFonts w:hint="default"/>
        <w:lang w:val="fr-FR" w:eastAsia="fr-FR" w:bidi="fr-FR"/>
      </w:rPr>
    </w:lvl>
    <w:lvl w:ilvl="3" w:tplc="F0BCEFCE">
      <w:numFmt w:val="bullet"/>
      <w:lvlText w:val="•"/>
      <w:lvlJc w:val="left"/>
      <w:pPr>
        <w:ind w:left="3374" w:hanging="708"/>
      </w:pPr>
      <w:rPr>
        <w:rFonts w:hint="default"/>
        <w:lang w:val="fr-FR" w:eastAsia="fr-FR" w:bidi="fr-FR"/>
      </w:rPr>
    </w:lvl>
    <w:lvl w:ilvl="4" w:tplc="30D485D2">
      <w:numFmt w:val="bullet"/>
      <w:lvlText w:val="•"/>
      <w:lvlJc w:val="left"/>
      <w:pPr>
        <w:ind w:left="4302" w:hanging="708"/>
      </w:pPr>
      <w:rPr>
        <w:rFonts w:hint="default"/>
        <w:lang w:val="fr-FR" w:eastAsia="fr-FR" w:bidi="fr-FR"/>
      </w:rPr>
    </w:lvl>
    <w:lvl w:ilvl="5" w:tplc="4A46BA12">
      <w:numFmt w:val="bullet"/>
      <w:lvlText w:val="•"/>
      <w:lvlJc w:val="left"/>
      <w:pPr>
        <w:ind w:left="5229" w:hanging="708"/>
      </w:pPr>
      <w:rPr>
        <w:rFonts w:hint="default"/>
        <w:lang w:val="fr-FR" w:eastAsia="fr-FR" w:bidi="fr-FR"/>
      </w:rPr>
    </w:lvl>
    <w:lvl w:ilvl="6" w:tplc="B43AC4F0">
      <w:numFmt w:val="bullet"/>
      <w:lvlText w:val="•"/>
      <w:lvlJc w:val="left"/>
      <w:pPr>
        <w:ind w:left="6156" w:hanging="708"/>
      </w:pPr>
      <w:rPr>
        <w:rFonts w:hint="default"/>
        <w:lang w:val="fr-FR" w:eastAsia="fr-FR" w:bidi="fr-FR"/>
      </w:rPr>
    </w:lvl>
    <w:lvl w:ilvl="7" w:tplc="A92ED6B2">
      <w:numFmt w:val="bullet"/>
      <w:lvlText w:val="•"/>
      <w:lvlJc w:val="left"/>
      <w:pPr>
        <w:ind w:left="7084" w:hanging="708"/>
      </w:pPr>
      <w:rPr>
        <w:rFonts w:hint="default"/>
        <w:lang w:val="fr-FR" w:eastAsia="fr-FR" w:bidi="fr-FR"/>
      </w:rPr>
    </w:lvl>
    <w:lvl w:ilvl="8" w:tplc="FADC4FFA">
      <w:numFmt w:val="bullet"/>
      <w:lvlText w:val="•"/>
      <w:lvlJc w:val="left"/>
      <w:pPr>
        <w:ind w:left="8011" w:hanging="708"/>
      </w:pPr>
      <w:rPr>
        <w:rFonts w:hint="default"/>
        <w:lang w:val="fr-FR" w:eastAsia="fr-FR" w:bidi="fr-FR"/>
      </w:rPr>
    </w:lvl>
  </w:abstractNum>
  <w:abstractNum w:abstractNumId="7" w15:restartNumberingAfterBreak="0">
    <w:nsid w:val="60B842C6"/>
    <w:multiLevelType w:val="hybridMultilevel"/>
    <w:tmpl w:val="E5E083D6"/>
    <w:lvl w:ilvl="0" w:tplc="0CC89FE0">
      <w:start w:val="1"/>
      <w:numFmt w:val="upperRoman"/>
      <w:lvlText w:val="%1."/>
      <w:lvlJc w:val="left"/>
      <w:pPr>
        <w:ind w:left="821" w:hanging="709"/>
        <w:jc w:val="left"/>
      </w:pPr>
      <w:rPr>
        <w:rFonts w:ascii="Arial" w:eastAsia="Arial" w:hAnsi="Arial" w:cs="Arial" w:hint="default"/>
        <w:b/>
        <w:bCs/>
        <w:spacing w:val="-1"/>
        <w:w w:val="99"/>
        <w:sz w:val="20"/>
        <w:szCs w:val="20"/>
        <w:lang w:val="fr-FR" w:eastAsia="fr-FR" w:bidi="fr-FR"/>
      </w:rPr>
    </w:lvl>
    <w:lvl w:ilvl="1" w:tplc="C6B804FC">
      <w:numFmt w:val="bullet"/>
      <w:lvlText w:val="•"/>
      <w:lvlJc w:val="left"/>
      <w:pPr>
        <w:ind w:left="1724" w:hanging="709"/>
      </w:pPr>
      <w:rPr>
        <w:rFonts w:hint="default"/>
        <w:lang w:val="fr-FR" w:eastAsia="fr-FR" w:bidi="fr-FR"/>
      </w:rPr>
    </w:lvl>
    <w:lvl w:ilvl="2" w:tplc="B7188C70">
      <w:numFmt w:val="bullet"/>
      <w:lvlText w:val="•"/>
      <w:lvlJc w:val="left"/>
      <w:pPr>
        <w:ind w:left="2629" w:hanging="709"/>
      </w:pPr>
      <w:rPr>
        <w:rFonts w:hint="default"/>
        <w:lang w:val="fr-FR" w:eastAsia="fr-FR" w:bidi="fr-FR"/>
      </w:rPr>
    </w:lvl>
    <w:lvl w:ilvl="3" w:tplc="29FADD6C">
      <w:numFmt w:val="bullet"/>
      <w:lvlText w:val="•"/>
      <w:lvlJc w:val="left"/>
      <w:pPr>
        <w:ind w:left="3533" w:hanging="709"/>
      </w:pPr>
      <w:rPr>
        <w:rFonts w:hint="default"/>
        <w:lang w:val="fr-FR" w:eastAsia="fr-FR" w:bidi="fr-FR"/>
      </w:rPr>
    </w:lvl>
    <w:lvl w:ilvl="4" w:tplc="2926E652">
      <w:numFmt w:val="bullet"/>
      <w:lvlText w:val="•"/>
      <w:lvlJc w:val="left"/>
      <w:pPr>
        <w:ind w:left="4438" w:hanging="709"/>
      </w:pPr>
      <w:rPr>
        <w:rFonts w:hint="default"/>
        <w:lang w:val="fr-FR" w:eastAsia="fr-FR" w:bidi="fr-FR"/>
      </w:rPr>
    </w:lvl>
    <w:lvl w:ilvl="5" w:tplc="82849DD0">
      <w:numFmt w:val="bullet"/>
      <w:lvlText w:val="•"/>
      <w:lvlJc w:val="left"/>
      <w:pPr>
        <w:ind w:left="5343" w:hanging="709"/>
      </w:pPr>
      <w:rPr>
        <w:rFonts w:hint="default"/>
        <w:lang w:val="fr-FR" w:eastAsia="fr-FR" w:bidi="fr-FR"/>
      </w:rPr>
    </w:lvl>
    <w:lvl w:ilvl="6" w:tplc="CDB67EF8">
      <w:numFmt w:val="bullet"/>
      <w:lvlText w:val="•"/>
      <w:lvlJc w:val="left"/>
      <w:pPr>
        <w:ind w:left="6247" w:hanging="709"/>
      </w:pPr>
      <w:rPr>
        <w:rFonts w:hint="default"/>
        <w:lang w:val="fr-FR" w:eastAsia="fr-FR" w:bidi="fr-FR"/>
      </w:rPr>
    </w:lvl>
    <w:lvl w:ilvl="7" w:tplc="96FE3D46">
      <w:numFmt w:val="bullet"/>
      <w:lvlText w:val="•"/>
      <w:lvlJc w:val="left"/>
      <w:pPr>
        <w:ind w:left="7152" w:hanging="709"/>
      </w:pPr>
      <w:rPr>
        <w:rFonts w:hint="default"/>
        <w:lang w:val="fr-FR" w:eastAsia="fr-FR" w:bidi="fr-FR"/>
      </w:rPr>
    </w:lvl>
    <w:lvl w:ilvl="8" w:tplc="1D92BCB0">
      <w:numFmt w:val="bullet"/>
      <w:lvlText w:val="•"/>
      <w:lvlJc w:val="left"/>
      <w:pPr>
        <w:ind w:left="8057" w:hanging="709"/>
      </w:pPr>
      <w:rPr>
        <w:rFonts w:hint="default"/>
        <w:lang w:val="fr-FR" w:eastAsia="fr-FR" w:bidi="fr-FR"/>
      </w:rPr>
    </w:lvl>
  </w:abstractNum>
  <w:abstractNum w:abstractNumId="8" w15:restartNumberingAfterBreak="0">
    <w:nsid w:val="61E96C3C"/>
    <w:multiLevelType w:val="hybridMultilevel"/>
    <w:tmpl w:val="18C6DD86"/>
    <w:lvl w:ilvl="0" w:tplc="084A646C">
      <w:start w:val="1"/>
      <w:numFmt w:val="decimal"/>
      <w:lvlText w:val="%1."/>
      <w:lvlJc w:val="left"/>
      <w:pPr>
        <w:ind w:left="112" w:hanging="709"/>
        <w:jc w:val="left"/>
      </w:pPr>
      <w:rPr>
        <w:rFonts w:ascii="Arial" w:eastAsia="Arial" w:hAnsi="Arial" w:cs="Arial" w:hint="default"/>
        <w:spacing w:val="-1"/>
        <w:w w:val="99"/>
        <w:sz w:val="20"/>
        <w:szCs w:val="20"/>
        <w:lang w:val="fr-FR" w:eastAsia="fr-FR" w:bidi="fr-FR"/>
      </w:rPr>
    </w:lvl>
    <w:lvl w:ilvl="1" w:tplc="FE9C67B2">
      <w:numFmt w:val="bullet"/>
      <w:lvlText w:val="•"/>
      <w:lvlJc w:val="left"/>
      <w:pPr>
        <w:ind w:left="1094" w:hanging="709"/>
      </w:pPr>
      <w:rPr>
        <w:rFonts w:hint="default"/>
        <w:lang w:val="fr-FR" w:eastAsia="fr-FR" w:bidi="fr-FR"/>
      </w:rPr>
    </w:lvl>
    <w:lvl w:ilvl="2" w:tplc="8466E51A">
      <w:numFmt w:val="bullet"/>
      <w:lvlText w:val="•"/>
      <w:lvlJc w:val="left"/>
      <w:pPr>
        <w:ind w:left="2069" w:hanging="709"/>
      </w:pPr>
      <w:rPr>
        <w:rFonts w:hint="default"/>
        <w:lang w:val="fr-FR" w:eastAsia="fr-FR" w:bidi="fr-FR"/>
      </w:rPr>
    </w:lvl>
    <w:lvl w:ilvl="3" w:tplc="B90A568E">
      <w:numFmt w:val="bullet"/>
      <w:lvlText w:val="•"/>
      <w:lvlJc w:val="left"/>
      <w:pPr>
        <w:ind w:left="3043" w:hanging="709"/>
      </w:pPr>
      <w:rPr>
        <w:rFonts w:hint="default"/>
        <w:lang w:val="fr-FR" w:eastAsia="fr-FR" w:bidi="fr-FR"/>
      </w:rPr>
    </w:lvl>
    <w:lvl w:ilvl="4" w:tplc="1EB43606">
      <w:numFmt w:val="bullet"/>
      <w:lvlText w:val="•"/>
      <w:lvlJc w:val="left"/>
      <w:pPr>
        <w:ind w:left="4018" w:hanging="709"/>
      </w:pPr>
      <w:rPr>
        <w:rFonts w:hint="default"/>
        <w:lang w:val="fr-FR" w:eastAsia="fr-FR" w:bidi="fr-FR"/>
      </w:rPr>
    </w:lvl>
    <w:lvl w:ilvl="5" w:tplc="F326A4F8">
      <w:numFmt w:val="bullet"/>
      <w:lvlText w:val="•"/>
      <w:lvlJc w:val="left"/>
      <w:pPr>
        <w:ind w:left="4993" w:hanging="709"/>
      </w:pPr>
      <w:rPr>
        <w:rFonts w:hint="default"/>
        <w:lang w:val="fr-FR" w:eastAsia="fr-FR" w:bidi="fr-FR"/>
      </w:rPr>
    </w:lvl>
    <w:lvl w:ilvl="6" w:tplc="58D8E18C">
      <w:numFmt w:val="bullet"/>
      <w:lvlText w:val="•"/>
      <w:lvlJc w:val="left"/>
      <w:pPr>
        <w:ind w:left="5967" w:hanging="709"/>
      </w:pPr>
      <w:rPr>
        <w:rFonts w:hint="default"/>
        <w:lang w:val="fr-FR" w:eastAsia="fr-FR" w:bidi="fr-FR"/>
      </w:rPr>
    </w:lvl>
    <w:lvl w:ilvl="7" w:tplc="4A4A7C72">
      <w:numFmt w:val="bullet"/>
      <w:lvlText w:val="•"/>
      <w:lvlJc w:val="left"/>
      <w:pPr>
        <w:ind w:left="6942" w:hanging="709"/>
      </w:pPr>
      <w:rPr>
        <w:rFonts w:hint="default"/>
        <w:lang w:val="fr-FR" w:eastAsia="fr-FR" w:bidi="fr-FR"/>
      </w:rPr>
    </w:lvl>
    <w:lvl w:ilvl="8" w:tplc="BBDA1270">
      <w:numFmt w:val="bullet"/>
      <w:lvlText w:val="•"/>
      <w:lvlJc w:val="left"/>
      <w:pPr>
        <w:ind w:left="7917" w:hanging="709"/>
      </w:pPr>
      <w:rPr>
        <w:rFonts w:hint="default"/>
        <w:lang w:val="fr-FR" w:eastAsia="fr-FR" w:bidi="fr-FR"/>
      </w:r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36EEA"/>
    <w:rsid w:val="000934B0"/>
    <w:rsid w:val="00661517"/>
    <w:rsid w:val="00A36E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D5CB3"/>
  <w15:docId w15:val="{22420C0D-0225-4E79-BE98-234CE02E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bg-BG" w:eastAsia="fr-FR" w:bidi="fr-FR"/>
    </w:rPr>
  </w:style>
  <w:style w:type="paragraph" w:styleId="Heading1">
    <w:name w:val="heading 1"/>
    <w:basedOn w:val="Normal"/>
    <w:uiPriority w:val="9"/>
    <w:qFormat/>
    <w:pPr>
      <w:ind w:left="821" w:hanging="710"/>
      <w:outlineLvl w:val="0"/>
    </w:pPr>
    <w:rPr>
      <w:b/>
      <w:bCs/>
      <w:sz w:val="20"/>
      <w:szCs w:val="20"/>
    </w:rPr>
  </w:style>
  <w:style w:type="paragraph" w:styleId="Heading2">
    <w:name w:val="heading 2"/>
    <w:basedOn w:val="Normal"/>
    <w:uiPriority w:val="9"/>
    <w:unhideWhenUsed/>
    <w:qFormat/>
    <w:pPr>
      <w:ind w:left="821" w:hanging="71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61517"/>
    <w:rPr>
      <w:sz w:val="20"/>
      <w:szCs w:val="20"/>
    </w:rPr>
  </w:style>
  <w:style w:type="character" w:customStyle="1" w:styleId="FootnoteTextChar">
    <w:name w:val="Footnote Text Char"/>
    <w:basedOn w:val="DefaultParagraphFont"/>
    <w:link w:val="FootnoteText"/>
    <w:uiPriority w:val="99"/>
    <w:semiHidden/>
    <w:rsid w:val="00661517"/>
    <w:rPr>
      <w:rFonts w:ascii="Arial" w:eastAsia="Arial" w:hAnsi="Arial" w:cs="Arial"/>
      <w:sz w:val="20"/>
      <w:szCs w:val="20"/>
      <w:lang w:val="bg-BG" w:eastAsia="fr-FR" w:bidi="fr-FR"/>
    </w:rPr>
  </w:style>
  <w:style w:type="character" w:styleId="FootnoteReference">
    <w:name w:val="footnote reference"/>
    <w:basedOn w:val="DefaultParagraphFont"/>
    <w:uiPriority w:val="99"/>
    <w:semiHidden/>
    <w:unhideWhenUsed/>
    <w:rsid w:val="00661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BE04-5F9F-41EE-988A-804F7440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1480</Words>
  <Characters>7981</Characters>
  <Application>Microsoft Office Word</Application>
  <DocSecurity>0</DocSecurity>
  <Lines>177</Lines>
  <Paragraphs>86</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881bis</dc:title>
  <dc:creator>tyrrell</dc:creator>
  <cp:lastModifiedBy>YAVOR Profirov</cp:lastModifiedBy>
  <cp:revision>2</cp:revision>
  <dcterms:created xsi:type="dcterms:W3CDTF">2024-04-23T07:08:00Z</dcterms:created>
  <dcterms:modified xsi:type="dcterms:W3CDTF">2024-04-23T07:11:00Z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Creator">
    <vt:lpwstr>Microsoft® Word 2010</vt:lpwstr>
  </property>
  <property fmtid="{D5CDD505-2E9C-101B-9397-08002B2CF9AE}" pid="4" name="LastSaved">
    <vt:filetime>2024-04-23T00:00:00Z</vt:filetime>
  </property>
</Properties>
</file>